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2F6BBDF5" w:rsidR="0012388D" w:rsidRDefault="00772BDC" w:rsidP="00CA5734">
      <w:pPr>
        <w:rPr>
          <w:rFonts w:cs="Arial"/>
        </w:rPr>
      </w:pPr>
      <w:r>
        <w:rPr>
          <w:rFonts w:cs="Arial"/>
          <w:noProof/>
          <w:lang w:eastAsia="en-GB" w:bidi="ar-SA"/>
        </w:rPr>
        <w:drawing>
          <wp:inline distT="0" distB="0" distL="0" distR="0" wp14:anchorId="32DB846A" wp14:editId="53631DD2">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359DFA52" w:rsidR="00A671E6" w:rsidRPr="00BE6307" w:rsidRDefault="00BE6307" w:rsidP="00A671E6">
      <w:pPr>
        <w:rPr>
          <w:b/>
          <w:sz w:val="28"/>
          <w:szCs w:val="28"/>
        </w:rPr>
      </w:pPr>
      <w:r w:rsidRPr="00BE6307">
        <w:rPr>
          <w:b/>
          <w:sz w:val="28"/>
          <w:szCs w:val="28"/>
        </w:rPr>
        <w:t>20</w:t>
      </w:r>
      <w:r w:rsidR="00A671E6" w:rsidRPr="00BE6307">
        <w:rPr>
          <w:b/>
          <w:sz w:val="28"/>
          <w:szCs w:val="28"/>
        </w:rPr>
        <w:t xml:space="preserve"> </w:t>
      </w:r>
      <w:r w:rsidRPr="00BE6307">
        <w:rPr>
          <w:b/>
          <w:sz w:val="28"/>
          <w:szCs w:val="28"/>
        </w:rPr>
        <w:t>September 2018</w:t>
      </w:r>
    </w:p>
    <w:p w14:paraId="05D0F5F1" w14:textId="5CFCBFD4" w:rsidR="00A671E6" w:rsidRPr="00BE6307" w:rsidRDefault="00BE6307" w:rsidP="00A671E6">
      <w:pPr>
        <w:rPr>
          <w:b/>
          <w:sz w:val="28"/>
          <w:szCs w:val="28"/>
        </w:rPr>
      </w:pPr>
      <w:r w:rsidRPr="00BE6307">
        <w:rPr>
          <w:b/>
          <w:sz w:val="28"/>
          <w:szCs w:val="28"/>
        </w:rPr>
        <w:t>[59</w:t>
      </w:r>
      <w:r w:rsidR="00831154" w:rsidRPr="00BE6307">
        <w:rPr>
          <w:b/>
          <w:sz w:val="28"/>
          <w:szCs w:val="28"/>
        </w:rPr>
        <w:t>-1</w:t>
      </w:r>
      <w:r w:rsidRPr="00BE6307">
        <w:rPr>
          <w:b/>
          <w:sz w:val="28"/>
          <w:szCs w:val="28"/>
        </w:rPr>
        <w:t>8</w:t>
      </w:r>
      <w:r w:rsidR="00A671E6" w:rsidRPr="00BE6307">
        <w:rPr>
          <w:b/>
          <w:sz w:val="28"/>
          <w:szCs w:val="28"/>
        </w:rPr>
        <w:t>]</w:t>
      </w:r>
    </w:p>
    <w:p w14:paraId="3C77C31E" w14:textId="77777777" w:rsidR="00A671E6" w:rsidRPr="00BE6307" w:rsidRDefault="00A671E6" w:rsidP="00A671E6"/>
    <w:p w14:paraId="598521F3" w14:textId="2601F7CB" w:rsidR="0012388D" w:rsidRPr="000C2A7B" w:rsidRDefault="00B425AA" w:rsidP="00B425AA">
      <w:pPr>
        <w:pStyle w:val="FSTitle"/>
      </w:pPr>
      <w:r w:rsidRPr="000C2A7B">
        <w:t>A</w:t>
      </w:r>
      <w:r w:rsidR="00DD265C" w:rsidRPr="000C2A7B">
        <w:t>pproval</w:t>
      </w:r>
      <w:r w:rsidRPr="000C2A7B">
        <w:t xml:space="preserve"> </w:t>
      </w:r>
      <w:r w:rsidR="00B77C18" w:rsidRPr="000C2A7B">
        <w:t>r</w:t>
      </w:r>
      <w:r w:rsidR="00DD265C" w:rsidRPr="000C2A7B">
        <w:t>eport</w:t>
      </w:r>
      <w:r w:rsidRPr="000C2A7B">
        <w:t xml:space="preserve"> – </w:t>
      </w:r>
      <w:r w:rsidR="00EB6590" w:rsidRPr="000C2A7B">
        <w:t>A</w:t>
      </w:r>
      <w:r w:rsidR="00DD265C" w:rsidRPr="000C2A7B">
        <w:t>pplication</w:t>
      </w:r>
      <w:r w:rsidR="00CA5734" w:rsidRPr="000C2A7B">
        <w:t xml:space="preserve"> </w:t>
      </w:r>
      <w:r w:rsidR="00D15A08" w:rsidRPr="000C2A7B">
        <w:t>A</w:t>
      </w:r>
      <w:r w:rsidR="00F762CC" w:rsidRPr="000C2A7B">
        <w:t>1137</w:t>
      </w:r>
    </w:p>
    <w:p w14:paraId="63744F20" w14:textId="77777777" w:rsidR="003A7B84" w:rsidRPr="00CA5734" w:rsidRDefault="003A7B84" w:rsidP="00A671E6"/>
    <w:p w14:paraId="000C7564" w14:textId="4D2CD192" w:rsidR="0012388D" w:rsidRPr="000C2A7B" w:rsidRDefault="000C2A7B" w:rsidP="00B425AA">
      <w:pPr>
        <w:pStyle w:val="FSTitle"/>
      </w:pPr>
      <w:r w:rsidRPr="000C2A7B">
        <w:t>Polysorbate 20 as a Food Additive</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72ADE9E7" w14:textId="2D506B8D" w:rsidR="00EB6590" w:rsidRPr="000C2A7B" w:rsidRDefault="000F3CFE" w:rsidP="00CA5734">
      <w:r w:rsidRPr="000C2A7B">
        <w:t>Food Standards Australia New Zealand (FSANZ) has</w:t>
      </w:r>
      <w:r w:rsidR="00081B0A" w:rsidRPr="000C2A7B">
        <w:t xml:space="preserve"> assessed an application</w:t>
      </w:r>
      <w:r w:rsidR="00CA5734" w:rsidRPr="000C2A7B">
        <w:t xml:space="preserve"> </w:t>
      </w:r>
      <w:r w:rsidR="00081B0A" w:rsidRPr="000C2A7B">
        <w:t xml:space="preserve">made by </w:t>
      </w:r>
      <w:r w:rsidR="000C2A7B" w:rsidRPr="000C2A7B">
        <w:t>Earlee Products Pty Ltd</w:t>
      </w:r>
      <w:r w:rsidR="00081B0A" w:rsidRPr="000C2A7B">
        <w:t xml:space="preserve"> </w:t>
      </w:r>
      <w:r w:rsidR="00CA5734" w:rsidRPr="000C2A7B">
        <w:t>to</w:t>
      </w:r>
      <w:r w:rsidR="00081B0A" w:rsidRPr="000C2A7B">
        <w:t xml:space="preserve"> </w:t>
      </w:r>
      <w:r w:rsidR="000C2A7B" w:rsidRPr="000C2A7B">
        <w:t xml:space="preserve">permit the use of polysorbate 20 as an emulsifier food additive for </w:t>
      </w:r>
      <w:r w:rsidR="000C2A7B" w:rsidRPr="000C2A7B">
        <w:rPr>
          <w:lang w:val="en-AU"/>
        </w:rPr>
        <w:t>processed meat and meat products, and processed fish and fish products</w:t>
      </w:r>
      <w:r w:rsidR="00081B0A" w:rsidRPr="000C2A7B">
        <w:t>.</w:t>
      </w:r>
    </w:p>
    <w:p w14:paraId="14F32D9E" w14:textId="77777777" w:rsidR="00CA5734" w:rsidRPr="000C2A7B" w:rsidRDefault="00CA5734" w:rsidP="00CA5734"/>
    <w:p w14:paraId="5029D30D" w14:textId="45470CC8" w:rsidR="00081B0A" w:rsidRDefault="00081B0A" w:rsidP="00CA5734">
      <w:r>
        <w:t xml:space="preserve">On </w:t>
      </w:r>
      <w:r w:rsidR="00BA31F2" w:rsidRPr="00BA31F2">
        <w:t>26 June 2018</w:t>
      </w:r>
      <w:r w:rsidR="003A7B84" w:rsidRPr="00BA31F2">
        <w:t>,</w:t>
      </w:r>
      <w:r w:rsidRPr="00BA31F2">
        <w:t xml:space="preserve"> </w:t>
      </w:r>
      <w:r>
        <w:t xml:space="preserve">FSANZ sought </w:t>
      </w:r>
      <w:r w:rsidR="003A7B84" w:rsidRPr="000C2A7B">
        <w:t xml:space="preserve">submissions </w:t>
      </w:r>
      <w:r w:rsidR="00A671E6" w:rsidRPr="000C2A7B">
        <w:t xml:space="preserve">on </w:t>
      </w:r>
      <w:r w:rsidR="00F526BD" w:rsidRPr="000C2A7B">
        <w:t xml:space="preserve">a draft </w:t>
      </w:r>
      <w:r w:rsidR="00F45A6E">
        <w:t>variation</w:t>
      </w:r>
      <w:r w:rsidR="00CA5734" w:rsidRPr="000C2A7B">
        <w:t xml:space="preserve"> </w:t>
      </w:r>
      <w:r w:rsidR="003A7B84" w:rsidRPr="000C2A7B">
        <w:t xml:space="preserve">and </w:t>
      </w:r>
      <w:r w:rsidR="003A7B84">
        <w:t xml:space="preserve">published an </w:t>
      </w:r>
      <w:r w:rsidR="00EC21DF">
        <w:t>associated r</w:t>
      </w:r>
      <w:r w:rsidR="003A7B84">
        <w:t>eport</w:t>
      </w:r>
      <w:r>
        <w:t>.</w:t>
      </w:r>
      <w:r w:rsidR="00F526BD">
        <w:t xml:space="preserve"> FSANZ </w:t>
      </w:r>
      <w:r w:rsidR="00F526BD" w:rsidRPr="00F004B5">
        <w:t xml:space="preserve">received </w:t>
      </w:r>
      <w:r w:rsidR="00EA48C5" w:rsidRPr="00F004B5">
        <w:t>four</w:t>
      </w:r>
      <w:r w:rsidR="00F526BD" w:rsidRPr="00F004B5">
        <w:t xml:space="preserve"> submissions</w:t>
      </w:r>
      <w:r w:rsidR="00F526BD">
        <w:t>.</w:t>
      </w:r>
    </w:p>
    <w:p w14:paraId="6F926C97" w14:textId="77777777" w:rsidR="00CA5734" w:rsidRDefault="00CA5734" w:rsidP="00CA5734"/>
    <w:p w14:paraId="5F5CD903" w14:textId="4E5AE8AB" w:rsidR="00081B0A" w:rsidRPr="00BE6307" w:rsidRDefault="00081B0A" w:rsidP="00CA5734">
      <w:r>
        <w:t xml:space="preserve">FSANZ approved the </w:t>
      </w:r>
      <w:r w:rsidRPr="000C2A7B">
        <w:t xml:space="preserve">draft </w:t>
      </w:r>
      <w:r w:rsidR="00F45A6E">
        <w:t>variation</w:t>
      </w:r>
      <w:r w:rsidR="000C2A7B" w:rsidRPr="000C2A7B">
        <w:t xml:space="preserve"> </w:t>
      </w:r>
      <w:r w:rsidR="0012388D" w:rsidRPr="00BE6307">
        <w:t xml:space="preserve">on </w:t>
      </w:r>
      <w:r w:rsidR="00BE6307" w:rsidRPr="00BE6307">
        <w:t>5 September 2018</w:t>
      </w:r>
      <w:r w:rsidRPr="00BE6307">
        <w:t xml:space="preserve">. </w:t>
      </w:r>
      <w:r w:rsidR="003A7B84" w:rsidRPr="00BE6307">
        <w:t xml:space="preserve">The </w:t>
      </w:r>
      <w:r w:rsidR="00011187" w:rsidRPr="00BE6307">
        <w:rPr>
          <w:rFonts w:cs="Helvetica"/>
          <w:lang w:val="en-AU"/>
        </w:rPr>
        <w:t xml:space="preserve">Australia and New Zealand Ministerial Forum on Food </w:t>
      </w:r>
      <w:r w:rsidR="00011187" w:rsidRPr="00BE6307">
        <w:rPr>
          <w:rFonts w:cs="Arial"/>
        </w:rPr>
        <w:t>Regulation</w:t>
      </w:r>
      <w:r w:rsidR="003A7B84" w:rsidRPr="00BE6307">
        <w:t xml:space="preserve"> was notified of FSANZ’s decision on </w:t>
      </w:r>
      <w:r w:rsidR="00BE6307" w:rsidRPr="00BE6307">
        <w:t>18 September 2018.</w:t>
      </w:r>
    </w:p>
    <w:p w14:paraId="07FE212F" w14:textId="77777777" w:rsidR="00CA5734" w:rsidRPr="00BE6307" w:rsidRDefault="00CA5734" w:rsidP="00CA5734"/>
    <w:p w14:paraId="3B4BBA6D" w14:textId="00F6D19C" w:rsidR="00081B0A" w:rsidRDefault="003A7B84" w:rsidP="00292B9B">
      <w:r>
        <w:t>This R</w:t>
      </w:r>
      <w:r w:rsidR="00B425AA">
        <w:t xml:space="preserve">eport is provided pursuant to </w:t>
      </w:r>
      <w:r w:rsidR="009A2699" w:rsidRPr="000C2A7B">
        <w:t>paragraph</w:t>
      </w:r>
      <w:r w:rsidR="00081B0A" w:rsidRPr="000C2A7B">
        <w:t xml:space="preserve"> 33(1)(b) of </w:t>
      </w:r>
      <w:r w:rsidR="00081B0A">
        <w:t xml:space="preserve">the </w:t>
      </w:r>
      <w:r w:rsidR="00081B0A" w:rsidRPr="0012388D">
        <w:rPr>
          <w:i/>
        </w:rPr>
        <w:t>Food Stand</w:t>
      </w:r>
      <w:bookmarkStart w:id="0" w:name="_GoBack"/>
      <w:bookmarkEnd w:id="0"/>
      <w:r w:rsidR="00081B0A" w:rsidRPr="0012388D">
        <w:rPr>
          <w:i/>
        </w:rPr>
        <w:t>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headerReference w:type="default" r:id="rId15"/>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73F450DE" w14:textId="09133394" w:rsidR="008000F6"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21320608" w:history="1">
        <w:r w:rsidR="008000F6" w:rsidRPr="00B7747B">
          <w:rPr>
            <w:rStyle w:val="Hyperlink"/>
            <w:noProof/>
          </w:rPr>
          <w:t>Executive summary</w:t>
        </w:r>
        <w:r w:rsidR="008000F6">
          <w:rPr>
            <w:noProof/>
            <w:webHidden/>
          </w:rPr>
          <w:tab/>
        </w:r>
        <w:r w:rsidR="008000F6">
          <w:rPr>
            <w:noProof/>
            <w:webHidden/>
          </w:rPr>
          <w:fldChar w:fldCharType="begin"/>
        </w:r>
        <w:r w:rsidR="008000F6">
          <w:rPr>
            <w:noProof/>
            <w:webHidden/>
          </w:rPr>
          <w:instrText xml:space="preserve"> PAGEREF _Toc521320608 \h </w:instrText>
        </w:r>
        <w:r w:rsidR="008000F6">
          <w:rPr>
            <w:noProof/>
            <w:webHidden/>
          </w:rPr>
        </w:r>
        <w:r w:rsidR="008000F6">
          <w:rPr>
            <w:noProof/>
            <w:webHidden/>
          </w:rPr>
          <w:fldChar w:fldCharType="separate"/>
        </w:r>
        <w:r w:rsidR="008000F6">
          <w:rPr>
            <w:noProof/>
            <w:webHidden/>
          </w:rPr>
          <w:t>2</w:t>
        </w:r>
        <w:r w:rsidR="008000F6">
          <w:rPr>
            <w:noProof/>
            <w:webHidden/>
          </w:rPr>
          <w:fldChar w:fldCharType="end"/>
        </w:r>
      </w:hyperlink>
    </w:p>
    <w:p w14:paraId="7ECF42DD" w14:textId="46E2C18A" w:rsidR="008000F6" w:rsidRDefault="00BE6307">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1320609" w:history="1">
        <w:r w:rsidR="008000F6" w:rsidRPr="00B7747B">
          <w:rPr>
            <w:rStyle w:val="Hyperlink"/>
            <w:noProof/>
          </w:rPr>
          <w:t>1</w:t>
        </w:r>
        <w:r w:rsidR="008000F6">
          <w:rPr>
            <w:rFonts w:eastAsiaTheme="minorEastAsia" w:cstheme="minorBidi"/>
            <w:b w:val="0"/>
            <w:bCs w:val="0"/>
            <w:caps w:val="0"/>
            <w:noProof/>
            <w:sz w:val="22"/>
            <w:szCs w:val="22"/>
            <w:lang w:eastAsia="en-GB" w:bidi="ar-SA"/>
          </w:rPr>
          <w:tab/>
        </w:r>
        <w:r w:rsidR="008000F6" w:rsidRPr="00B7747B">
          <w:rPr>
            <w:rStyle w:val="Hyperlink"/>
            <w:noProof/>
          </w:rPr>
          <w:t>Introduction</w:t>
        </w:r>
        <w:r w:rsidR="008000F6">
          <w:rPr>
            <w:noProof/>
            <w:webHidden/>
          </w:rPr>
          <w:tab/>
        </w:r>
        <w:r w:rsidR="008000F6">
          <w:rPr>
            <w:noProof/>
            <w:webHidden/>
          </w:rPr>
          <w:fldChar w:fldCharType="begin"/>
        </w:r>
        <w:r w:rsidR="008000F6">
          <w:rPr>
            <w:noProof/>
            <w:webHidden/>
          </w:rPr>
          <w:instrText xml:space="preserve"> PAGEREF _Toc521320609 \h </w:instrText>
        </w:r>
        <w:r w:rsidR="008000F6">
          <w:rPr>
            <w:noProof/>
            <w:webHidden/>
          </w:rPr>
        </w:r>
        <w:r w:rsidR="008000F6">
          <w:rPr>
            <w:noProof/>
            <w:webHidden/>
          </w:rPr>
          <w:fldChar w:fldCharType="separate"/>
        </w:r>
        <w:r w:rsidR="008000F6">
          <w:rPr>
            <w:noProof/>
            <w:webHidden/>
          </w:rPr>
          <w:t>3</w:t>
        </w:r>
        <w:r w:rsidR="008000F6">
          <w:rPr>
            <w:noProof/>
            <w:webHidden/>
          </w:rPr>
          <w:fldChar w:fldCharType="end"/>
        </w:r>
      </w:hyperlink>
    </w:p>
    <w:p w14:paraId="70451FFA" w14:textId="021590DF" w:rsidR="008000F6" w:rsidRDefault="00BE6307">
      <w:pPr>
        <w:pStyle w:val="TOC2"/>
        <w:tabs>
          <w:tab w:val="left" w:pos="880"/>
          <w:tab w:val="right" w:leader="dot" w:pos="9060"/>
        </w:tabs>
        <w:rPr>
          <w:rFonts w:eastAsiaTheme="minorEastAsia" w:cstheme="minorBidi"/>
          <w:smallCaps w:val="0"/>
          <w:noProof/>
          <w:sz w:val="22"/>
          <w:szCs w:val="22"/>
          <w:lang w:eastAsia="en-GB" w:bidi="ar-SA"/>
        </w:rPr>
      </w:pPr>
      <w:hyperlink w:anchor="_Toc521320610" w:history="1">
        <w:r w:rsidR="008000F6" w:rsidRPr="00B7747B">
          <w:rPr>
            <w:rStyle w:val="Hyperlink"/>
            <w:noProof/>
          </w:rPr>
          <w:t>1.1</w:t>
        </w:r>
        <w:r w:rsidR="008000F6">
          <w:rPr>
            <w:rFonts w:eastAsiaTheme="minorEastAsia" w:cstheme="minorBidi"/>
            <w:smallCaps w:val="0"/>
            <w:noProof/>
            <w:sz w:val="22"/>
            <w:szCs w:val="22"/>
            <w:lang w:eastAsia="en-GB" w:bidi="ar-SA"/>
          </w:rPr>
          <w:tab/>
        </w:r>
        <w:r w:rsidR="008000F6" w:rsidRPr="00B7747B">
          <w:rPr>
            <w:rStyle w:val="Hyperlink"/>
            <w:noProof/>
          </w:rPr>
          <w:t>The Applicant</w:t>
        </w:r>
        <w:r w:rsidR="008000F6">
          <w:rPr>
            <w:noProof/>
            <w:webHidden/>
          </w:rPr>
          <w:tab/>
        </w:r>
        <w:r w:rsidR="008000F6">
          <w:rPr>
            <w:noProof/>
            <w:webHidden/>
          </w:rPr>
          <w:fldChar w:fldCharType="begin"/>
        </w:r>
        <w:r w:rsidR="008000F6">
          <w:rPr>
            <w:noProof/>
            <w:webHidden/>
          </w:rPr>
          <w:instrText xml:space="preserve"> PAGEREF _Toc521320610 \h </w:instrText>
        </w:r>
        <w:r w:rsidR="008000F6">
          <w:rPr>
            <w:noProof/>
            <w:webHidden/>
          </w:rPr>
        </w:r>
        <w:r w:rsidR="008000F6">
          <w:rPr>
            <w:noProof/>
            <w:webHidden/>
          </w:rPr>
          <w:fldChar w:fldCharType="separate"/>
        </w:r>
        <w:r w:rsidR="008000F6">
          <w:rPr>
            <w:noProof/>
            <w:webHidden/>
          </w:rPr>
          <w:t>3</w:t>
        </w:r>
        <w:r w:rsidR="008000F6">
          <w:rPr>
            <w:noProof/>
            <w:webHidden/>
          </w:rPr>
          <w:fldChar w:fldCharType="end"/>
        </w:r>
      </w:hyperlink>
    </w:p>
    <w:p w14:paraId="26E8B83A" w14:textId="6F1370B1" w:rsidR="008000F6" w:rsidRDefault="00BE6307">
      <w:pPr>
        <w:pStyle w:val="TOC2"/>
        <w:tabs>
          <w:tab w:val="left" w:pos="880"/>
          <w:tab w:val="right" w:leader="dot" w:pos="9060"/>
        </w:tabs>
        <w:rPr>
          <w:rFonts w:eastAsiaTheme="minorEastAsia" w:cstheme="minorBidi"/>
          <w:smallCaps w:val="0"/>
          <w:noProof/>
          <w:sz w:val="22"/>
          <w:szCs w:val="22"/>
          <w:lang w:eastAsia="en-GB" w:bidi="ar-SA"/>
        </w:rPr>
      </w:pPr>
      <w:hyperlink w:anchor="_Toc521320611" w:history="1">
        <w:r w:rsidR="008000F6" w:rsidRPr="00B7747B">
          <w:rPr>
            <w:rStyle w:val="Hyperlink"/>
            <w:noProof/>
          </w:rPr>
          <w:t>1.2</w:t>
        </w:r>
        <w:r w:rsidR="008000F6">
          <w:rPr>
            <w:rFonts w:eastAsiaTheme="minorEastAsia" w:cstheme="minorBidi"/>
            <w:smallCaps w:val="0"/>
            <w:noProof/>
            <w:sz w:val="22"/>
            <w:szCs w:val="22"/>
            <w:lang w:eastAsia="en-GB" w:bidi="ar-SA"/>
          </w:rPr>
          <w:tab/>
        </w:r>
        <w:r w:rsidR="008000F6" w:rsidRPr="00B7747B">
          <w:rPr>
            <w:rStyle w:val="Hyperlink"/>
            <w:noProof/>
          </w:rPr>
          <w:t>The Application</w:t>
        </w:r>
        <w:r w:rsidR="008000F6">
          <w:rPr>
            <w:noProof/>
            <w:webHidden/>
          </w:rPr>
          <w:tab/>
        </w:r>
        <w:r w:rsidR="008000F6">
          <w:rPr>
            <w:noProof/>
            <w:webHidden/>
          </w:rPr>
          <w:fldChar w:fldCharType="begin"/>
        </w:r>
        <w:r w:rsidR="008000F6">
          <w:rPr>
            <w:noProof/>
            <w:webHidden/>
          </w:rPr>
          <w:instrText xml:space="preserve"> PAGEREF _Toc521320611 \h </w:instrText>
        </w:r>
        <w:r w:rsidR="008000F6">
          <w:rPr>
            <w:noProof/>
            <w:webHidden/>
          </w:rPr>
        </w:r>
        <w:r w:rsidR="008000F6">
          <w:rPr>
            <w:noProof/>
            <w:webHidden/>
          </w:rPr>
          <w:fldChar w:fldCharType="separate"/>
        </w:r>
        <w:r w:rsidR="008000F6">
          <w:rPr>
            <w:noProof/>
            <w:webHidden/>
          </w:rPr>
          <w:t>3</w:t>
        </w:r>
        <w:r w:rsidR="008000F6">
          <w:rPr>
            <w:noProof/>
            <w:webHidden/>
          </w:rPr>
          <w:fldChar w:fldCharType="end"/>
        </w:r>
      </w:hyperlink>
    </w:p>
    <w:p w14:paraId="48F04D08" w14:textId="7F64677B" w:rsidR="008000F6" w:rsidRDefault="00BE6307">
      <w:pPr>
        <w:pStyle w:val="TOC2"/>
        <w:tabs>
          <w:tab w:val="left" w:pos="880"/>
          <w:tab w:val="right" w:leader="dot" w:pos="9060"/>
        </w:tabs>
        <w:rPr>
          <w:rFonts w:eastAsiaTheme="minorEastAsia" w:cstheme="minorBidi"/>
          <w:smallCaps w:val="0"/>
          <w:noProof/>
          <w:sz w:val="22"/>
          <w:szCs w:val="22"/>
          <w:lang w:eastAsia="en-GB" w:bidi="ar-SA"/>
        </w:rPr>
      </w:pPr>
      <w:hyperlink w:anchor="_Toc521320612" w:history="1">
        <w:r w:rsidR="008000F6" w:rsidRPr="00B7747B">
          <w:rPr>
            <w:rStyle w:val="Hyperlink"/>
            <w:noProof/>
          </w:rPr>
          <w:t>1.3</w:t>
        </w:r>
        <w:r w:rsidR="008000F6">
          <w:rPr>
            <w:rFonts w:eastAsiaTheme="minorEastAsia" w:cstheme="minorBidi"/>
            <w:smallCaps w:val="0"/>
            <w:noProof/>
            <w:sz w:val="22"/>
            <w:szCs w:val="22"/>
            <w:lang w:eastAsia="en-GB" w:bidi="ar-SA"/>
          </w:rPr>
          <w:tab/>
        </w:r>
        <w:r w:rsidR="008000F6" w:rsidRPr="00B7747B">
          <w:rPr>
            <w:rStyle w:val="Hyperlink"/>
            <w:noProof/>
          </w:rPr>
          <w:t>The current Standards</w:t>
        </w:r>
        <w:r w:rsidR="008000F6">
          <w:rPr>
            <w:noProof/>
            <w:webHidden/>
          </w:rPr>
          <w:tab/>
        </w:r>
        <w:r w:rsidR="008000F6">
          <w:rPr>
            <w:noProof/>
            <w:webHidden/>
          </w:rPr>
          <w:fldChar w:fldCharType="begin"/>
        </w:r>
        <w:r w:rsidR="008000F6">
          <w:rPr>
            <w:noProof/>
            <w:webHidden/>
          </w:rPr>
          <w:instrText xml:space="preserve"> PAGEREF _Toc521320612 \h </w:instrText>
        </w:r>
        <w:r w:rsidR="008000F6">
          <w:rPr>
            <w:noProof/>
            <w:webHidden/>
          </w:rPr>
        </w:r>
        <w:r w:rsidR="008000F6">
          <w:rPr>
            <w:noProof/>
            <w:webHidden/>
          </w:rPr>
          <w:fldChar w:fldCharType="separate"/>
        </w:r>
        <w:r w:rsidR="008000F6">
          <w:rPr>
            <w:noProof/>
            <w:webHidden/>
          </w:rPr>
          <w:t>3</w:t>
        </w:r>
        <w:r w:rsidR="008000F6">
          <w:rPr>
            <w:noProof/>
            <w:webHidden/>
          </w:rPr>
          <w:fldChar w:fldCharType="end"/>
        </w:r>
      </w:hyperlink>
    </w:p>
    <w:p w14:paraId="45C7FC14" w14:textId="4E3F0E12" w:rsidR="008000F6" w:rsidRDefault="00BE6307">
      <w:pPr>
        <w:pStyle w:val="TOC2"/>
        <w:tabs>
          <w:tab w:val="left" w:pos="880"/>
          <w:tab w:val="right" w:leader="dot" w:pos="9060"/>
        </w:tabs>
        <w:rPr>
          <w:rFonts w:eastAsiaTheme="minorEastAsia" w:cstheme="minorBidi"/>
          <w:smallCaps w:val="0"/>
          <w:noProof/>
          <w:sz w:val="22"/>
          <w:szCs w:val="22"/>
          <w:lang w:eastAsia="en-GB" w:bidi="ar-SA"/>
        </w:rPr>
      </w:pPr>
      <w:hyperlink w:anchor="_Toc521320613" w:history="1">
        <w:r w:rsidR="008000F6" w:rsidRPr="00B7747B">
          <w:rPr>
            <w:rStyle w:val="Hyperlink"/>
            <w:noProof/>
            <w:u w:color="FFFF00"/>
          </w:rPr>
          <w:t>1.4</w:t>
        </w:r>
        <w:r w:rsidR="008000F6">
          <w:rPr>
            <w:rFonts w:eastAsiaTheme="minorEastAsia" w:cstheme="minorBidi"/>
            <w:smallCaps w:val="0"/>
            <w:noProof/>
            <w:sz w:val="22"/>
            <w:szCs w:val="22"/>
            <w:lang w:eastAsia="en-GB" w:bidi="ar-SA"/>
          </w:rPr>
          <w:tab/>
        </w:r>
        <w:r w:rsidR="008000F6" w:rsidRPr="00B7747B">
          <w:rPr>
            <w:rStyle w:val="Hyperlink"/>
            <w:noProof/>
            <w:u w:color="FFFF00"/>
          </w:rPr>
          <w:t>Reasons for accepting Application</w:t>
        </w:r>
        <w:r w:rsidR="008000F6">
          <w:rPr>
            <w:noProof/>
            <w:webHidden/>
          </w:rPr>
          <w:tab/>
        </w:r>
        <w:r w:rsidR="008000F6">
          <w:rPr>
            <w:noProof/>
            <w:webHidden/>
          </w:rPr>
          <w:fldChar w:fldCharType="begin"/>
        </w:r>
        <w:r w:rsidR="008000F6">
          <w:rPr>
            <w:noProof/>
            <w:webHidden/>
          </w:rPr>
          <w:instrText xml:space="preserve"> PAGEREF _Toc521320613 \h </w:instrText>
        </w:r>
        <w:r w:rsidR="008000F6">
          <w:rPr>
            <w:noProof/>
            <w:webHidden/>
          </w:rPr>
        </w:r>
        <w:r w:rsidR="008000F6">
          <w:rPr>
            <w:noProof/>
            <w:webHidden/>
          </w:rPr>
          <w:fldChar w:fldCharType="separate"/>
        </w:r>
        <w:r w:rsidR="008000F6">
          <w:rPr>
            <w:noProof/>
            <w:webHidden/>
          </w:rPr>
          <w:t>5</w:t>
        </w:r>
        <w:r w:rsidR="008000F6">
          <w:rPr>
            <w:noProof/>
            <w:webHidden/>
          </w:rPr>
          <w:fldChar w:fldCharType="end"/>
        </w:r>
      </w:hyperlink>
    </w:p>
    <w:p w14:paraId="241E72BE" w14:textId="1B3CEFDB" w:rsidR="008000F6" w:rsidRDefault="00BE6307">
      <w:pPr>
        <w:pStyle w:val="TOC2"/>
        <w:tabs>
          <w:tab w:val="left" w:pos="880"/>
          <w:tab w:val="right" w:leader="dot" w:pos="9060"/>
        </w:tabs>
        <w:rPr>
          <w:rFonts w:eastAsiaTheme="minorEastAsia" w:cstheme="minorBidi"/>
          <w:smallCaps w:val="0"/>
          <w:noProof/>
          <w:sz w:val="22"/>
          <w:szCs w:val="22"/>
          <w:lang w:eastAsia="en-GB" w:bidi="ar-SA"/>
        </w:rPr>
      </w:pPr>
      <w:hyperlink w:anchor="_Toc521320614" w:history="1">
        <w:r w:rsidR="008000F6" w:rsidRPr="00B7747B">
          <w:rPr>
            <w:rStyle w:val="Hyperlink"/>
            <w:noProof/>
          </w:rPr>
          <w:t>1.5</w:t>
        </w:r>
        <w:r w:rsidR="008000F6">
          <w:rPr>
            <w:rFonts w:eastAsiaTheme="minorEastAsia" w:cstheme="minorBidi"/>
            <w:smallCaps w:val="0"/>
            <w:noProof/>
            <w:sz w:val="22"/>
            <w:szCs w:val="22"/>
            <w:lang w:eastAsia="en-GB" w:bidi="ar-SA"/>
          </w:rPr>
          <w:tab/>
        </w:r>
        <w:r w:rsidR="008000F6" w:rsidRPr="00B7747B">
          <w:rPr>
            <w:rStyle w:val="Hyperlink"/>
            <w:noProof/>
          </w:rPr>
          <w:t>Procedure for assessment</w:t>
        </w:r>
        <w:r w:rsidR="008000F6">
          <w:rPr>
            <w:noProof/>
            <w:webHidden/>
          </w:rPr>
          <w:tab/>
        </w:r>
        <w:r w:rsidR="008000F6">
          <w:rPr>
            <w:noProof/>
            <w:webHidden/>
          </w:rPr>
          <w:fldChar w:fldCharType="begin"/>
        </w:r>
        <w:r w:rsidR="008000F6">
          <w:rPr>
            <w:noProof/>
            <w:webHidden/>
          </w:rPr>
          <w:instrText xml:space="preserve"> PAGEREF _Toc521320614 \h </w:instrText>
        </w:r>
        <w:r w:rsidR="008000F6">
          <w:rPr>
            <w:noProof/>
            <w:webHidden/>
          </w:rPr>
        </w:r>
        <w:r w:rsidR="008000F6">
          <w:rPr>
            <w:noProof/>
            <w:webHidden/>
          </w:rPr>
          <w:fldChar w:fldCharType="separate"/>
        </w:r>
        <w:r w:rsidR="008000F6">
          <w:rPr>
            <w:noProof/>
            <w:webHidden/>
          </w:rPr>
          <w:t>6</w:t>
        </w:r>
        <w:r w:rsidR="008000F6">
          <w:rPr>
            <w:noProof/>
            <w:webHidden/>
          </w:rPr>
          <w:fldChar w:fldCharType="end"/>
        </w:r>
      </w:hyperlink>
    </w:p>
    <w:p w14:paraId="3F24B6F2" w14:textId="45E3E385" w:rsidR="008000F6" w:rsidRDefault="00BE6307">
      <w:pPr>
        <w:pStyle w:val="TOC2"/>
        <w:tabs>
          <w:tab w:val="left" w:pos="880"/>
          <w:tab w:val="right" w:leader="dot" w:pos="9060"/>
        </w:tabs>
        <w:rPr>
          <w:rFonts w:eastAsiaTheme="minorEastAsia" w:cstheme="minorBidi"/>
          <w:smallCaps w:val="0"/>
          <w:noProof/>
          <w:sz w:val="22"/>
          <w:szCs w:val="22"/>
          <w:lang w:eastAsia="en-GB" w:bidi="ar-SA"/>
        </w:rPr>
      </w:pPr>
      <w:hyperlink w:anchor="_Toc521320615" w:history="1">
        <w:r w:rsidR="008000F6" w:rsidRPr="00B7747B">
          <w:rPr>
            <w:rStyle w:val="Hyperlink"/>
            <w:noProof/>
          </w:rPr>
          <w:t>1.6</w:t>
        </w:r>
        <w:r w:rsidR="008000F6">
          <w:rPr>
            <w:rFonts w:eastAsiaTheme="minorEastAsia" w:cstheme="minorBidi"/>
            <w:smallCaps w:val="0"/>
            <w:noProof/>
            <w:sz w:val="22"/>
            <w:szCs w:val="22"/>
            <w:lang w:eastAsia="en-GB" w:bidi="ar-SA"/>
          </w:rPr>
          <w:tab/>
        </w:r>
        <w:r w:rsidR="008000F6" w:rsidRPr="00B7747B">
          <w:rPr>
            <w:rStyle w:val="Hyperlink"/>
            <w:noProof/>
          </w:rPr>
          <w:t>Decision</w:t>
        </w:r>
        <w:r w:rsidR="008000F6">
          <w:rPr>
            <w:noProof/>
            <w:webHidden/>
          </w:rPr>
          <w:tab/>
        </w:r>
        <w:r w:rsidR="008000F6">
          <w:rPr>
            <w:noProof/>
            <w:webHidden/>
          </w:rPr>
          <w:fldChar w:fldCharType="begin"/>
        </w:r>
        <w:r w:rsidR="008000F6">
          <w:rPr>
            <w:noProof/>
            <w:webHidden/>
          </w:rPr>
          <w:instrText xml:space="preserve"> PAGEREF _Toc521320615 \h </w:instrText>
        </w:r>
        <w:r w:rsidR="008000F6">
          <w:rPr>
            <w:noProof/>
            <w:webHidden/>
          </w:rPr>
        </w:r>
        <w:r w:rsidR="008000F6">
          <w:rPr>
            <w:noProof/>
            <w:webHidden/>
          </w:rPr>
          <w:fldChar w:fldCharType="separate"/>
        </w:r>
        <w:r w:rsidR="008000F6">
          <w:rPr>
            <w:noProof/>
            <w:webHidden/>
          </w:rPr>
          <w:t>6</w:t>
        </w:r>
        <w:r w:rsidR="008000F6">
          <w:rPr>
            <w:noProof/>
            <w:webHidden/>
          </w:rPr>
          <w:fldChar w:fldCharType="end"/>
        </w:r>
      </w:hyperlink>
    </w:p>
    <w:p w14:paraId="7E8B262C" w14:textId="5C014F40" w:rsidR="008000F6" w:rsidRDefault="00BE6307">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1320616" w:history="1">
        <w:r w:rsidR="008000F6" w:rsidRPr="00B7747B">
          <w:rPr>
            <w:rStyle w:val="Hyperlink"/>
            <w:noProof/>
          </w:rPr>
          <w:t>2</w:t>
        </w:r>
        <w:r w:rsidR="008000F6">
          <w:rPr>
            <w:rFonts w:eastAsiaTheme="minorEastAsia" w:cstheme="minorBidi"/>
            <w:b w:val="0"/>
            <w:bCs w:val="0"/>
            <w:caps w:val="0"/>
            <w:noProof/>
            <w:sz w:val="22"/>
            <w:szCs w:val="22"/>
            <w:lang w:eastAsia="en-GB" w:bidi="ar-SA"/>
          </w:rPr>
          <w:tab/>
        </w:r>
        <w:r w:rsidR="008000F6" w:rsidRPr="00B7747B">
          <w:rPr>
            <w:rStyle w:val="Hyperlink"/>
            <w:noProof/>
          </w:rPr>
          <w:t xml:space="preserve">Summary </w:t>
        </w:r>
        <w:r w:rsidR="008000F6" w:rsidRPr="00B7747B">
          <w:rPr>
            <w:rStyle w:val="Hyperlink"/>
            <w:noProof/>
            <w:u w:color="FFFF00"/>
          </w:rPr>
          <w:t>of</w:t>
        </w:r>
        <w:r w:rsidR="008000F6" w:rsidRPr="00B7747B">
          <w:rPr>
            <w:rStyle w:val="Hyperlink"/>
            <w:noProof/>
          </w:rPr>
          <w:t xml:space="preserve"> the findings</w:t>
        </w:r>
        <w:r w:rsidR="008000F6">
          <w:rPr>
            <w:noProof/>
            <w:webHidden/>
          </w:rPr>
          <w:tab/>
        </w:r>
        <w:r w:rsidR="008000F6">
          <w:rPr>
            <w:noProof/>
            <w:webHidden/>
          </w:rPr>
          <w:fldChar w:fldCharType="begin"/>
        </w:r>
        <w:r w:rsidR="008000F6">
          <w:rPr>
            <w:noProof/>
            <w:webHidden/>
          </w:rPr>
          <w:instrText xml:space="preserve"> PAGEREF _Toc521320616 \h </w:instrText>
        </w:r>
        <w:r w:rsidR="008000F6">
          <w:rPr>
            <w:noProof/>
            <w:webHidden/>
          </w:rPr>
        </w:r>
        <w:r w:rsidR="008000F6">
          <w:rPr>
            <w:noProof/>
            <w:webHidden/>
          </w:rPr>
          <w:fldChar w:fldCharType="separate"/>
        </w:r>
        <w:r w:rsidR="008000F6">
          <w:rPr>
            <w:noProof/>
            <w:webHidden/>
          </w:rPr>
          <w:t>6</w:t>
        </w:r>
        <w:r w:rsidR="008000F6">
          <w:rPr>
            <w:noProof/>
            <w:webHidden/>
          </w:rPr>
          <w:fldChar w:fldCharType="end"/>
        </w:r>
      </w:hyperlink>
    </w:p>
    <w:p w14:paraId="3B445208" w14:textId="16E6DA1B" w:rsidR="008000F6" w:rsidRDefault="00BE6307">
      <w:pPr>
        <w:pStyle w:val="TOC2"/>
        <w:tabs>
          <w:tab w:val="left" w:pos="880"/>
          <w:tab w:val="right" w:leader="dot" w:pos="9060"/>
        </w:tabs>
        <w:rPr>
          <w:rFonts w:eastAsiaTheme="minorEastAsia" w:cstheme="minorBidi"/>
          <w:smallCaps w:val="0"/>
          <w:noProof/>
          <w:sz w:val="22"/>
          <w:szCs w:val="22"/>
          <w:lang w:eastAsia="en-GB" w:bidi="ar-SA"/>
        </w:rPr>
      </w:pPr>
      <w:hyperlink w:anchor="_Toc521320617" w:history="1">
        <w:r w:rsidR="008000F6" w:rsidRPr="00B7747B">
          <w:rPr>
            <w:rStyle w:val="Hyperlink"/>
            <w:noProof/>
          </w:rPr>
          <w:t>2.1</w:t>
        </w:r>
        <w:r w:rsidR="008000F6">
          <w:rPr>
            <w:rFonts w:eastAsiaTheme="minorEastAsia" w:cstheme="minorBidi"/>
            <w:smallCaps w:val="0"/>
            <w:noProof/>
            <w:sz w:val="22"/>
            <w:szCs w:val="22"/>
            <w:lang w:eastAsia="en-GB" w:bidi="ar-SA"/>
          </w:rPr>
          <w:tab/>
        </w:r>
        <w:r w:rsidR="008000F6" w:rsidRPr="00B7747B">
          <w:rPr>
            <w:rStyle w:val="Hyperlink"/>
            <w:noProof/>
          </w:rPr>
          <w:t>Summary of issues raised in submissions</w:t>
        </w:r>
        <w:r w:rsidR="008000F6">
          <w:rPr>
            <w:noProof/>
            <w:webHidden/>
          </w:rPr>
          <w:tab/>
        </w:r>
        <w:r w:rsidR="008000F6">
          <w:rPr>
            <w:noProof/>
            <w:webHidden/>
          </w:rPr>
          <w:fldChar w:fldCharType="begin"/>
        </w:r>
        <w:r w:rsidR="008000F6">
          <w:rPr>
            <w:noProof/>
            <w:webHidden/>
          </w:rPr>
          <w:instrText xml:space="preserve"> PAGEREF _Toc521320617 \h </w:instrText>
        </w:r>
        <w:r w:rsidR="008000F6">
          <w:rPr>
            <w:noProof/>
            <w:webHidden/>
          </w:rPr>
        </w:r>
        <w:r w:rsidR="008000F6">
          <w:rPr>
            <w:noProof/>
            <w:webHidden/>
          </w:rPr>
          <w:fldChar w:fldCharType="separate"/>
        </w:r>
        <w:r w:rsidR="008000F6">
          <w:rPr>
            <w:noProof/>
            <w:webHidden/>
          </w:rPr>
          <w:t>6</w:t>
        </w:r>
        <w:r w:rsidR="008000F6">
          <w:rPr>
            <w:noProof/>
            <w:webHidden/>
          </w:rPr>
          <w:fldChar w:fldCharType="end"/>
        </w:r>
      </w:hyperlink>
    </w:p>
    <w:p w14:paraId="470BD40C" w14:textId="0A42C751" w:rsidR="008000F6" w:rsidRDefault="00BE6307">
      <w:pPr>
        <w:pStyle w:val="TOC3"/>
        <w:tabs>
          <w:tab w:val="left" w:pos="1100"/>
          <w:tab w:val="right" w:leader="dot" w:pos="9060"/>
        </w:tabs>
        <w:rPr>
          <w:rFonts w:eastAsiaTheme="minorEastAsia" w:cstheme="minorBidi"/>
          <w:i w:val="0"/>
          <w:iCs w:val="0"/>
          <w:noProof/>
          <w:sz w:val="22"/>
          <w:szCs w:val="22"/>
          <w:lang w:eastAsia="en-GB" w:bidi="ar-SA"/>
        </w:rPr>
      </w:pPr>
      <w:hyperlink w:anchor="_Toc521320618" w:history="1">
        <w:r w:rsidR="008000F6" w:rsidRPr="00B7747B">
          <w:rPr>
            <w:rStyle w:val="Hyperlink"/>
            <w:noProof/>
          </w:rPr>
          <w:t>2.1.1</w:t>
        </w:r>
        <w:r w:rsidR="008000F6">
          <w:rPr>
            <w:rFonts w:eastAsiaTheme="minorEastAsia" w:cstheme="minorBidi"/>
            <w:i w:val="0"/>
            <w:iCs w:val="0"/>
            <w:noProof/>
            <w:sz w:val="22"/>
            <w:szCs w:val="22"/>
            <w:lang w:eastAsia="en-GB" w:bidi="ar-SA"/>
          </w:rPr>
          <w:tab/>
        </w:r>
        <w:r w:rsidR="008000F6" w:rsidRPr="00B7747B">
          <w:rPr>
            <w:rStyle w:val="Hyperlink"/>
            <w:noProof/>
          </w:rPr>
          <w:t>FSANZ’s review of Chassaing et al (2015)</w:t>
        </w:r>
        <w:r w:rsidR="008000F6">
          <w:rPr>
            <w:noProof/>
            <w:webHidden/>
          </w:rPr>
          <w:tab/>
        </w:r>
        <w:r w:rsidR="008000F6">
          <w:rPr>
            <w:noProof/>
            <w:webHidden/>
          </w:rPr>
          <w:fldChar w:fldCharType="begin"/>
        </w:r>
        <w:r w:rsidR="008000F6">
          <w:rPr>
            <w:noProof/>
            <w:webHidden/>
          </w:rPr>
          <w:instrText xml:space="preserve"> PAGEREF _Toc521320618 \h </w:instrText>
        </w:r>
        <w:r w:rsidR="008000F6">
          <w:rPr>
            <w:noProof/>
            <w:webHidden/>
          </w:rPr>
        </w:r>
        <w:r w:rsidR="008000F6">
          <w:rPr>
            <w:noProof/>
            <w:webHidden/>
          </w:rPr>
          <w:fldChar w:fldCharType="separate"/>
        </w:r>
        <w:r w:rsidR="008000F6">
          <w:rPr>
            <w:noProof/>
            <w:webHidden/>
          </w:rPr>
          <w:t>9</w:t>
        </w:r>
        <w:r w:rsidR="008000F6">
          <w:rPr>
            <w:noProof/>
            <w:webHidden/>
          </w:rPr>
          <w:fldChar w:fldCharType="end"/>
        </w:r>
      </w:hyperlink>
    </w:p>
    <w:p w14:paraId="2BD2B3B7" w14:textId="339C76A5" w:rsidR="008000F6" w:rsidRDefault="00BE6307">
      <w:pPr>
        <w:pStyle w:val="TOC3"/>
        <w:tabs>
          <w:tab w:val="left" w:pos="1100"/>
          <w:tab w:val="right" w:leader="dot" w:pos="9060"/>
        </w:tabs>
        <w:rPr>
          <w:rFonts w:eastAsiaTheme="minorEastAsia" w:cstheme="minorBidi"/>
          <w:i w:val="0"/>
          <w:iCs w:val="0"/>
          <w:noProof/>
          <w:sz w:val="22"/>
          <w:szCs w:val="22"/>
          <w:lang w:eastAsia="en-GB" w:bidi="ar-SA"/>
        </w:rPr>
      </w:pPr>
      <w:hyperlink w:anchor="_Toc521320619" w:history="1">
        <w:r w:rsidR="008000F6" w:rsidRPr="00B7747B">
          <w:rPr>
            <w:rStyle w:val="Hyperlink"/>
            <w:noProof/>
          </w:rPr>
          <w:t>2.1.2</w:t>
        </w:r>
        <w:r w:rsidR="008000F6">
          <w:rPr>
            <w:rFonts w:eastAsiaTheme="minorEastAsia" w:cstheme="minorBidi"/>
            <w:i w:val="0"/>
            <w:iCs w:val="0"/>
            <w:noProof/>
            <w:sz w:val="22"/>
            <w:szCs w:val="22"/>
            <w:lang w:eastAsia="en-GB" w:bidi="ar-SA"/>
          </w:rPr>
          <w:tab/>
        </w:r>
        <w:r w:rsidR="008000F6" w:rsidRPr="00B7747B">
          <w:rPr>
            <w:rStyle w:val="Hyperlink"/>
            <w:noProof/>
          </w:rPr>
          <w:t>FSANZ’s review of Lerner and Matthias (2015)</w:t>
        </w:r>
        <w:r w:rsidR="008000F6">
          <w:rPr>
            <w:noProof/>
            <w:webHidden/>
          </w:rPr>
          <w:tab/>
        </w:r>
        <w:r w:rsidR="008000F6">
          <w:rPr>
            <w:noProof/>
            <w:webHidden/>
          </w:rPr>
          <w:fldChar w:fldCharType="begin"/>
        </w:r>
        <w:r w:rsidR="008000F6">
          <w:rPr>
            <w:noProof/>
            <w:webHidden/>
          </w:rPr>
          <w:instrText xml:space="preserve"> PAGEREF _Toc521320619 \h </w:instrText>
        </w:r>
        <w:r w:rsidR="008000F6">
          <w:rPr>
            <w:noProof/>
            <w:webHidden/>
          </w:rPr>
        </w:r>
        <w:r w:rsidR="008000F6">
          <w:rPr>
            <w:noProof/>
            <w:webHidden/>
          </w:rPr>
          <w:fldChar w:fldCharType="separate"/>
        </w:r>
        <w:r w:rsidR="008000F6">
          <w:rPr>
            <w:noProof/>
            <w:webHidden/>
          </w:rPr>
          <w:t>10</w:t>
        </w:r>
        <w:r w:rsidR="008000F6">
          <w:rPr>
            <w:noProof/>
            <w:webHidden/>
          </w:rPr>
          <w:fldChar w:fldCharType="end"/>
        </w:r>
      </w:hyperlink>
    </w:p>
    <w:p w14:paraId="4D4547C6" w14:textId="0A4B4D03" w:rsidR="008000F6" w:rsidRDefault="00BE6307">
      <w:pPr>
        <w:pStyle w:val="TOC2"/>
        <w:tabs>
          <w:tab w:val="left" w:pos="880"/>
          <w:tab w:val="right" w:leader="dot" w:pos="9060"/>
        </w:tabs>
        <w:rPr>
          <w:rFonts w:eastAsiaTheme="minorEastAsia" w:cstheme="minorBidi"/>
          <w:smallCaps w:val="0"/>
          <w:noProof/>
          <w:sz w:val="22"/>
          <w:szCs w:val="22"/>
          <w:lang w:eastAsia="en-GB" w:bidi="ar-SA"/>
        </w:rPr>
      </w:pPr>
      <w:hyperlink w:anchor="_Toc521320620" w:history="1">
        <w:r w:rsidR="008000F6" w:rsidRPr="00B7747B">
          <w:rPr>
            <w:rStyle w:val="Hyperlink"/>
            <w:noProof/>
          </w:rPr>
          <w:t>2.2</w:t>
        </w:r>
        <w:r w:rsidR="008000F6">
          <w:rPr>
            <w:rFonts w:eastAsiaTheme="minorEastAsia" w:cstheme="minorBidi"/>
            <w:smallCaps w:val="0"/>
            <w:noProof/>
            <w:sz w:val="22"/>
            <w:szCs w:val="22"/>
            <w:lang w:eastAsia="en-GB" w:bidi="ar-SA"/>
          </w:rPr>
          <w:tab/>
        </w:r>
        <w:r w:rsidR="008000F6" w:rsidRPr="00B7747B">
          <w:rPr>
            <w:rStyle w:val="Hyperlink"/>
            <w:noProof/>
          </w:rPr>
          <w:t>Risk assessment</w:t>
        </w:r>
        <w:r w:rsidR="008000F6">
          <w:rPr>
            <w:noProof/>
            <w:webHidden/>
          </w:rPr>
          <w:tab/>
        </w:r>
        <w:r w:rsidR="008000F6">
          <w:rPr>
            <w:noProof/>
            <w:webHidden/>
          </w:rPr>
          <w:fldChar w:fldCharType="begin"/>
        </w:r>
        <w:r w:rsidR="008000F6">
          <w:rPr>
            <w:noProof/>
            <w:webHidden/>
          </w:rPr>
          <w:instrText xml:space="preserve"> PAGEREF _Toc521320620 \h </w:instrText>
        </w:r>
        <w:r w:rsidR="008000F6">
          <w:rPr>
            <w:noProof/>
            <w:webHidden/>
          </w:rPr>
        </w:r>
        <w:r w:rsidR="008000F6">
          <w:rPr>
            <w:noProof/>
            <w:webHidden/>
          </w:rPr>
          <w:fldChar w:fldCharType="separate"/>
        </w:r>
        <w:r w:rsidR="008000F6">
          <w:rPr>
            <w:noProof/>
            <w:webHidden/>
          </w:rPr>
          <w:t>10</w:t>
        </w:r>
        <w:r w:rsidR="008000F6">
          <w:rPr>
            <w:noProof/>
            <w:webHidden/>
          </w:rPr>
          <w:fldChar w:fldCharType="end"/>
        </w:r>
      </w:hyperlink>
    </w:p>
    <w:p w14:paraId="75DF5E07" w14:textId="005ECD9C" w:rsidR="008000F6" w:rsidRDefault="00BE6307">
      <w:pPr>
        <w:pStyle w:val="TOC2"/>
        <w:tabs>
          <w:tab w:val="left" w:pos="880"/>
          <w:tab w:val="right" w:leader="dot" w:pos="9060"/>
        </w:tabs>
        <w:rPr>
          <w:rFonts w:eastAsiaTheme="minorEastAsia" w:cstheme="minorBidi"/>
          <w:smallCaps w:val="0"/>
          <w:noProof/>
          <w:sz w:val="22"/>
          <w:szCs w:val="22"/>
          <w:lang w:eastAsia="en-GB" w:bidi="ar-SA"/>
        </w:rPr>
      </w:pPr>
      <w:hyperlink w:anchor="_Toc521320621" w:history="1">
        <w:r w:rsidR="008000F6" w:rsidRPr="00B7747B">
          <w:rPr>
            <w:rStyle w:val="Hyperlink"/>
            <w:noProof/>
          </w:rPr>
          <w:t>2.3</w:t>
        </w:r>
        <w:r w:rsidR="008000F6">
          <w:rPr>
            <w:rFonts w:eastAsiaTheme="minorEastAsia" w:cstheme="minorBidi"/>
            <w:smallCaps w:val="0"/>
            <w:noProof/>
            <w:sz w:val="22"/>
            <w:szCs w:val="22"/>
            <w:lang w:eastAsia="en-GB" w:bidi="ar-SA"/>
          </w:rPr>
          <w:tab/>
        </w:r>
        <w:r w:rsidR="008000F6" w:rsidRPr="00B7747B">
          <w:rPr>
            <w:rStyle w:val="Hyperlink"/>
            <w:noProof/>
          </w:rPr>
          <w:t>Risk management</w:t>
        </w:r>
        <w:r w:rsidR="008000F6">
          <w:rPr>
            <w:noProof/>
            <w:webHidden/>
          </w:rPr>
          <w:tab/>
        </w:r>
        <w:r w:rsidR="008000F6">
          <w:rPr>
            <w:noProof/>
            <w:webHidden/>
          </w:rPr>
          <w:fldChar w:fldCharType="begin"/>
        </w:r>
        <w:r w:rsidR="008000F6">
          <w:rPr>
            <w:noProof/>
            <w:webHidden/>
          </w:rPr>
          <w:instrText xml:space="preserve"> PAGEREF _Toc521320621 \h </w:instrText>
        </w:r>
        <w:r w:rsidR="008000F6">
          <w:rPr>
            <w:noProof/>
            <w:webHidden/>
          </w:rPr>
        </w:r>
        <w:r w:rsidR="008000F6">
          <w:rPr>
            <w:noProof/>
            <w:webHidden/>
          </w:rPr>
          <w:fldChar w:fldCharType="separate"/>
        </w:r>
        <w:r w:rsidR="008000F6">
          <w:rPr>
            <w:noProof/>
            <w:webHidden/>
          </w:rPr>
          <w:t>11</w:t>
        </w:r>
        <w:r w:rsidR="008000F6">
          <w:rPr>
            <w:noProof/>
            <w:webHidden/>
          </w:rPr>
          <w:fldChar w:fldCharType="end"/>
        </w:r>
      </w:hyperlink>
    </w:p>
    <w:p w14:paraId="1527305A" w14:textId="2B16D110" w:rsidR="008000F6" w:rsidRDefault="00BE6307">
      <w:pPr>
        <w:pStyle w:val="TOC2"/>
        <w:tabs>
          <w:tab w:val="left" w:pos="880"/>
          <w:tab w:val="right" w:leader="dot" w:pos="9060"/>
        </w:tabs>
        <w:rPr>
          <w:rFonts w:eastAsiaTheme="minorEastAsia" w:cstheme="minorBidi"/>
          <w:smallCaps w:val="0"/>
          <w:noProof/>
          <w:sz w:val="22"/>
          <w:szCs w:val="22"/>
          <w:lang w:eastAsia="en-GB" w:bidi="ar-SA"/>
        </w:rPr>
      </w:pPr>
      <w:hyperlink w:anchor="_Toc521320622" w:history="1">
        <w:r w:rsidR="008000F6" w:rsidRPr="00B7747B">
          <w:rPr>
            <w:rStyle w:val="Hyperlink"/>
            <w:noProof/>
          </w:rPr>
          <w:t>2.4</w:t>
        </w:r>
        <w:r w:rsidR="008000F6">
          <w:rPr>
            <w:rFonts w:eastAsiaTheme="minorEastAsia" w:cstheme="minorBidi"/>
            <w:smallCaps w:val="0"/>
            <w:noProof/>
            <w:sz w:val="22"/>
            <w:szCs w:val="22"/>
            <w:lang w:eastAsia="en-GB" w:bidi="ar-SA"/>
          </w:rPr>
          <w:tab/>
        </w:r>
        <w:r w:rsidR="008000F6" w:rsidRPr="00B7747B">
          <w:rPr>
            <w:rStyle w:val="Hyperlink"/>
            <w:noProof/>
          </w:rPr>
          <w:t>Risk communication</w:t>
        </w:r>
        <w:r w:rsidR="008000F6">
          <w:rPr>
            <w:noProof/>
            <w:webHidden/>
          </w:rPr>
          <w:tab/>
        </w:r>
        <w:r w:rsidR="008000F6">
          <w:rPr>
            <w:noProof/>
            <w:webHidden/>
          </w:rPr>
          <w:fldChar w:fldCharType="begin"/>
        </w:r>
        <w:r w:rsidR="008000F6">
          <w:rPr>
            <w:noProof/>
            <w:webHidden/>
          </w:rPr>
          <w:instrText xml:space="preserve"> PAGEREF _Toc521320622 \h </w:instrText>
        </w:r>
        <w:r w:rsidR="008000F6">
          <w:rPr>
            <w:noProof/>
            <w:webHidden/>
          </w:rPr>
        </w:r>
        <w:r w:rsidR="008000F6">
          <w:rPr>
            <w:noProof/>
            <w:webHidden/>
          </w:rPr>
          <w:fldChar w:fldCharType="separate"/>
        </w:r>
        <w:r w:rsidR="008000F6">
          <w:rPr>
            <w:noProof/>
            <w:webHidden/>
          </w:rPr>
          <w:t>13</w:t>
        </w:r>
        <w:r w:rsidR="008000F6">
          <w:rPr>
            <w:noProof/>
            <w:webHidden/>
          </w:rPr>
          <w:fldChar w:fldCharType="end"/>
        </w:r>
      </w:hyperlink>
    </w:p>
    <w:p w14:paraId="1B769F46" w14:textId="686C69F0" w:rsidR="008000F6" w:rsidRDefault="00BE6307">
      <w:pPr>
        <w:pStyle w:val="TOC3"/>
        <w:tabs>
          <w:tab w:val="left" w:pos="1100"/>
          <w:tab w:val="right" w:leader="dot" w:pos="9060"/>
        </w:tabs>
        <w:rPr>
          <w:rFonts w:eastAsiaTheme="minorEastAsia" w:cstheme="minorBidi"/>
          <w:i w:val="0"/>
          <w:iCs w:val="0"/>
          <w:noProof/>
          <w:sz w:val="22"/>
          <w:szCs w:val="22"/>
          <w:lang w:eastAsia="en-GB" w:bidi="ar-SA"/>
        </w:rPr>
      </w:pPr>
      <w:hyperlink w:anchor="_Toc521320623" w:history="1">
        <w:r w:rsidR="008000F6" w:rsidRPr="00B7747B">
          <w:rPr>
            <w:rStyle w:val="Hyperlink"/>
            <w:noProof/>
          </w:rPr>
          <w:t>2.4.1</w:t>
        </w:r>
        <w:r w:rsidR="008000F6">
          <w:rPr>
            <w:rFonts w:eastAsiaTheme="minorEastAsia" w:cstheme="minorBidi"/>
            <w:i w:val="0"/>
            <w:iCs w:val="0"/>
            <w:noProof/>
            <w:sz w:val="22"/>
            <w:szCs w:val="22"/>
            <w:lang w:eastAsia="en-GB" w:bidi="ar-SA"/>
          </w:rPr>
          <w:tab/>
        </w:r>
        <w:r w:rsidR="008000F6" w:rsidRPr="00B7747B">
          <w:rPr>
            <w:rStyle w:val="Hyperlink"/>
            <w:noProof/>
          </w:rPr>
          <w:t>Consultation</w:t>
        </w:r>
        <w:r w:rsidR="008000F6">
          <w:rPr>
            <w:noProof/>
            <w:webHidden/>
          </w:rPr>
          <w:tab/>
        </w:r>
        <w:r w:rsidR="008000F6">
          <w:rPr>
            <w:noProof/>
            <w:webHidden/>
          </w:rPr>
          <w:fldChar w:fldCharType="begin"/>
        </w:r>
        <w:r w:rsidR="008000F6">
          <w:rPr>
            <w:noProof/>
            <w:webHidden/>
          </w:rPr>
          <w:instrText xml:space="preserve"> PAGEREF _Toc521320623 \h </w:instrText>
        </w:r>
        <w:r w:rsidR="008000F6">
          <w:rPr>
            <w:noProof/>
            <w:webHidden/>
          </w:rPr>
        </w:r>
        <w:r w:rsidR="008000F6">
          <w:rPr>
            <w:noProof/>
            <w:webHidden/>
          </w:rPr>
          <w:fldChar w:fldCharType="separate"/>
        </w:r>
        <w:r w:rsidR="008000F6">
          <w:rPr>
            <w:noProof/>
            <w:webHidden/>
          </w:rPr>
          <w:t>13</w:t>
        </w:r>
        <w:r w:rsidR="008000F6">
          <w:rPr>
            <w:noProof/>
            <w:webHidden/>
          </w:rPr>
          <w:fldChar w:fldCharType="end"/>
        </w:r>
      </w:hyperlink>
    </w:p>
    <w:p w14:paraId="30C90B36" w14:textId="454411D3" w:rsidR="008000F6" w:rsidRDefault="00BE6307">
      <w:pPr>
        <w:pStyle w:val="TOC2"/>
        <w:tabs>
          <w:tab w:val="left" w:pos="880"/>
          <w:tab w:val="right" w:leader="dot" w:pos="9060"/>
        </w:tabs>
        <w:rPr>
          <w:rFonts w:eastAsiaTheme="minorEastAsia" w:cstheme="minorBidi"/>
          <w:smallCaps w:val="0"/>
          <w:noProof/>
          <w:sz w:val="22"/>
          <w:szCs w:val="22"/>
          <w:lang w:eastAsia="en-GB" w:bidi="ar-SA"/>
        </w:rPr>
      </w:pPr>
      <w:hyperlink w:anchor="_Toc521320624" w:history="1">
        <w:r w:rsidR="008000F6" w:rsidRPr="00B7747B">
          <w:rPr>
            <w:rStyle w:val="Hyperlink"/>
            <w:noProof/>
          </w:rPr>
          <w:t>2.5</w:t>
        </w:r>
        <w:r w:rsidR="008000F6">
          <w:rPr>
            <w:rFonts w:eastAsiaTheme="minorEastAsia" w:cstheme="minorBidi"/>
            <w:smallCaps w:val="0"/>
            <w:noProof/>
            <w:sz w:val="22"/>
            <w:szCs w:val="22"/>
            <w:lang w:eastAsia="en-GB" w:bidi="ar-SA"/>
          </w:rPr>
          <w:tab/>
        </w:r>
        <w:r w:rsidR="008000F6" w:rsidRPr="00B7747B">
          <w:rPr>
            <w:rStyle w:val="Hyperlink"/>
            <w:noProof/>
          </w:rPr>
          <w:t>FSANZ Act assessment requirements</w:t>
        </w:r>
        <w:r w:rsidR="008000F6">
          <w:rPr>
            <w:noProof/>
            <w:webHidden/>
          </w:rPr>
          <w:tab/>
        </w:r>
        <w:r w:rsidR="008000F6">
          <w:rPr>
            <w:noProof/>
            <w:webHidden/>
          </w:rPr>
          <w:fldChar w:fldCharType="begin"/>
        </w:r>
        <w:r w:rsidR="008000F6">
          <w:rPr>
            <w:noProof/>
            <w:webHidden/>
          </w:rPr>
          <w:instrText xml:space="preserve"> PAGEREF _Toc521320624 \h </w:instrText>
        </w:r>
        <w:r w:rsidR="008000F6">
          <w:rPr>
            <w:noProof/>
            <w:webHidden/>
          </w:rPr>
        </w:r>
        <w:r w:rsidR="008000F6">
          <w:rPr>
            <w:noProof/>
            <w:webHidden/>
          </w:rPr>
          <w:fldChar w:fldCharType="separate"/>
        </w:r>
        <w:r w:rsidR="008000F6">
          <w:rPr>
            <w:noProof/>
            <w:webHidden/>
          </w:rPr>
          <w:t>13</w:t>
        </w:r>
        <w:r w:rsidR="008000F6">
          <w:rPr>
            <w:noProof/>
            <w:webHidden/>
          </w:rPr>
          <w:fldChar w:fldCharType="end"/>
        </w:r>
      </w:hyperlink>
    </w:p>
    <w:p w14:paraId="2BBFD4BC" w14:textId="3DB3DF76" w:rsidR="008000F6" w:rsidRDefault="00BE6307">
      <w:pPr>
        <w:pStyle w:val="TOC3"/>
        <w:tabs>
          <w:tab w:val="left" w:pos="1100"/>
          <w:tab w:val="right" w:leader="dot" w:pos="9060"/>
        </w:tabs>
        <w:rPr>
          <w:rFonts w:eastAsiaTheme="minorEastAsia" w:cstheme="minorBidi"/>
          <w:i w:val="0"/>
          <w:iCs w:val="0"/>
          <w:noProof/>
          <w:sz w:val="22"/>
          <w:szCs w:val="22"/>
          <w:lang w:eastAsia="en-GB" w:bidi="ar-SA"/>
        </w:rPr>
      </w:pPr>
      <w:hyperlink w:anchor="_Toc521320625" w:history="1">
        <w:r w:rsidR="008000F6" w:rsidRPr="00B7747B">
          <w:rPr>
            <w:rStyle w:val="Hyperlink"/>
            <w:noProof/>
          </w:rPr>
          <w:t>2.5.1</w:t>
        </w:r>
        <w:r w:rsidR="008000F6">
          <w:rPr>
            <w:rFonts w:eastAsiaTheme="minorEastAsia" w:cstheme="minorBidi"/>
            <w:i w:val="0"/>
            <w:iCs w:val="0"/>
            <w:noProof/>
            <w:sz w:val="22"/>
            <w:szCs w:val="22"/>
            <w:lang w:eastAsia="en-GB" w:bidi="ar-SA"/>
          </w:rPr>
          <w:tab/>
        </w:r>
        <w:r w:rsidR="008000F6" w:rsidRPr="00B7747B">
          <w:rPr>
            <w:rStyle w:val="Hyperlink"/>
            <w:noProof/>
          </w:rPr>
          <w:t>Section 29</w:t>
        </w:r>
        <w:r w:rsidR="008000F6">
          <w:rPr>
            <w:noProof/>
            <w:webHidden/>
          </w:rPr>
          <w:tab/>
        </w:r>
        <w:r w:rsidR="008000F6">
          <w:rPr>
            <w:noProof/>
            <w:webHidden/>
          </w:rPr>
          <w:fldChar w:fldCharType="begin"/>
        </w:r>
        <w:r w:rsidR="008000F6">
          <w:rPr>
            <w:noProof/>
            <w:webHidden/>
          </w:rPr>
          <w:instrText xml:space="preserve"> PAGEREF _Toc521320625 \h </w:instrText>
        </w:r>
        <w:r w:rsidR="008000F6">
          <w:rPr>
            <w:noProof/>
            <w:webHidden/>
          </w:rPr>
        </w:r>
        <w:r w:rsidR="008000F6">
          <w:rPr>
            <w:noProof/>
            <w:webHidden/>
          </w:rPr>
          <w:fldChar w:fldCharType="separate"/>
        </w:r>
        <w:r w:rsidR="008000F6">
          <w:rPr>
            <w:noProof/>
            <w:webHidden/>
          </w:rPr>
          <w:t>13</w:t>
        </w:r>
        <w:r w:rsidR="008000F6">
          <w:rPr>
            <w:noProof/>
            <w:webHidden/>
          </w:rPr>
          <w:fldChar w:fldCharType="end"/>
        </w:r>
      </w:hyperlink>
    </w:p>
    <w:p w14:paraId="7950FA06" w14:textId="1437E7AE" w:rsidR="008000F6" w:rsidRDefault="00BE6307">
      <w:pPr>
        <w:pStyle w:val="TOC3"/>
        <w:tabs>
          <w:tab w:val="left" w:pos="1100"/>
          <w:tab w:val="right" w:leader="dot" w:pos="9060"/>
        </w:tabs>
        <w:rPr>
          <w:rFonts w:eastAsiaTheme="minorEastAsia" w:cstheme="minorBidi"/>
          <w:i w:val="0"/>
          <w:iCs w:val="0"/>
          <w:noProof/>
          <w:sz w:val="22"/>
          <w:szCs w:val="22"/>
          <w:lang w:eastAsia="en-GB" w:bidi="ar-SA"/>
        </w:rPr>
      </w:pPr>
      <w:hyperlink w:anchor="_Toc521320626" w:history="1">
        <w:r w:rsidR="008000F6" w:rsidRPr="00B7747B">
          <w:rPr>
            <w:rStyle w:val="Hyperlink"/>
            <w:noProof/>
          </w:rPr>
          <w:t>2.5.2</w:t>
        </w:r>
        <w:r w:rsidR="008000F6">
          <w:rPr>
            <w:rFonts w:eastAsiaTheme="minorEastAsia" w:cstheme="minorBidi"/>
            <w:i w:val="0"/>
            <w:iCs w:val="0"/>
            <w:noProof/>
            <w:sz w:val="22"/>
            <w:szCs w:val="22"/>
            <w:lang w:eastAsia="en-GB" w:bidi="ar-SA"/>
          </w:rPr>
          <w:tab/>
        </w:r>
        <w:r w:rsidR="008000F6" w:rsidRPr="00B7747B">
          <w:rPr>
            <w:rStyle w:val="Hyperlink"/>
            <w:noProof/>
          </w:rPr>
          <w:t>Subsection 18(1)</w:t>
        </w:r>
        <w:r w:rsidR="008000F6">
          <w:rPr>
            <w:noProof/>
            <w:webHidden/>
          </w:rPr>
          <w:tab/>
        </w:r>
        <w:r w:rsidR="008000F6">
          <w:rPr>
            <w:noProof/>
            <w:webHidden/>
          </w:rPr>
          <w:fldChar w:fldCharType="begin"/>
        </w:r>
        <w:r w:rsidR="008000F6">
          <w:rPr>
            <w:noProof/>
            <w:webHidden/>
          </w:rPr>
          <w:instrText xml:space="preserve"> PAGEREF _Toc521320626 \h </w:instrText>
        </w:r>
        <w:r w:rsidR="008000F6">
          <w:rPr>
            <w:noProof/>
            <w:webHidden/>
          </w:rPr>
        </w:r>
        <w:r w:rsidR="008000F6">
          <w:rPr>
            <w:noProof/>
            <w:webHidden/>
          </w:rPr>
          <w:fldChar w:fldCharType="separate"/>
        </w:r>
        <w:r w:rsidR="008000F6">
          <w:rPr>
            <w:noProof/>
            <w:webHidden/>
          </w:rPr>
          <w:t>14</w:t>
        </w:r>
        <w:r w:rsidR="008000F6">
          <w:rPr>
            <w:noProof/>
            <w:webHidden/>
          </w:rPr>
          <w:fldChar w:fldCharType="end"/>
        </w:r>
      </w:hyperlink>
    </w:p>
    <w:p w14:paraId="3294AE31" w14:textId="49146DB0" w:rsidR="008000F6" w:rsidRDefault="00BE6307">
      <w:pPr>
        <w:pStyle w:val="TOC2"/>
        <w:tabs>
          <w:tab w:val="right" w:leader="dot" w:pos="9060"/>
        </w:tabs>
        <w:rPr>
          <w:rFonts w:eastAsiaTheme="minorEastAsia" w:cstheme="minorBidi"/>
          <w:smallCaps w:val="0"/>
          <w:noProof/>
          <w:sz w:val="22"/>
          <w:szCs w:val="22"/>
          <w:lang w:eastAsia="en-GB" w:bidi="ar-SA"/>
        </w:rPr>
      </w:pPr>
      <w:hyperlink w:anchor="_Toc521320627" w:history="1">
        <w:r w:rsidR="008000F6" w:rsidRPr="00B7747B">
          <w:rPr>
            <w:rStyle w:val="Hyperlink"/>
            <w:noProof/>
          </w:rPr>
          <w:t xml:space="preserve">Attachment A – Approved draft variation to the </w:t>
        </w:r>
        <w:r w:rsidR="008000F6" w:rsidRPr="00B7747B">
          <w:rPr>
            <w:rStyle w:val="Hyperlink"/>
            <w:i/>
            <w:noProof/>
          </w:rPr>
          <w:t>Australia New Zealand Food Standards Code</w:t>
        </w:r>
        <w:r w:rsidR="008000F6">
          <w:rPr>
            <w:noProof/>
            <w:webHidden/>
          </w:rPr>
          <w:tab/>
        </w:r>
        <w:r w:rsidR="008000F6">
          <w:rPr>
            <w:noProof/>
            <w:webHidden/>
          </w:rPr>
          <w:fldChar w:fldCharType="begin"/>
        </w:r>
        <w:r w:rsidR="008000F6">
          <w:rPr>
            <w:noProof/>
            <w:webHidden/>
          </w:rPr>
          <w:instrText xml:space="preserve"> PAGEREF _Toc521320627 \h </w:instrText>
        </w:r>
        <w:r w:rsidR="008000F6">
          <w:rPr>
            <w:noProof/>
            <w:webHidden/>
          </w:rPr>
        </w:r>
        <w:r w:rsidR="008000F6">
          <w:rPr>
            <w:noProof/>
            <w:webHidden/>
          </w:rPr>
          <w:fldChar w:fldCharType="separate"/>
        </w:r>
        <w:r w:rsidR="008000F6">
          <w:rPr>
            <w:noProof/>
            <w:webHidden/>
          </w:rPr>
          <w:t>16</w:t>
        </w:r>
        <w:r w:rsidR="008000F6">
          <w:rPr>
            <w:noProof/>
            <w:webHidden/>
          </w:rPr>
          <w:fldChar w:fldCharType="end"/>
        </w:r>
      </w:hyperlink>
    </w:p>
    <w:p w14:paraId="0CEB6AF1" w14:textId="09FF27A2" w:rsidR="008000F6" w:rsidRDefault="00BE6307">
      <w:pPr>
        <w:pStyle w:val="TOC2"/>
        <w:tabs>
          <w:tab w:val="right" w:leader="dot" w:pos="9060"/>
        </w:tabs>
        <w:rPr>
          <w:rFonts w:eastAsiaTheme="minorEastAsia" w:cstheme="minorBidi"/>
          <w:smallCaps w:val="0"/>
          <w:noProof/>
          <w:sz w:val="22"/>
          <w:szCs w:val="22"/>
          <w:lang w:eastAsia="en-GB" w:bidi="ar-SA"/>
        </w:rPr>
      </w:pPr>
      <w:hyperlink w:anchor="_Toc521320628" w:history="1">
        <w:r w:rsidR="008000F6" w:rsidRPr="00B7747B">
          <w:rPr>
            <w:rStyle w:val="Hyperlink"/>
            <w:noProof/>
          </w:rPr>
          <w:t>Attachment B – Explanatory Statement</w:t>
        </w:r>
        <w:r w:rsidR="008000F6">
          <w:rPr>
            <w:noProof/>
            <w:webHidden/>
          </w:rPr>
          <w:tab/>
        </w:r>
        <w:r w:rsidR="008000F6">
          <w:rPr>
            <w:noProof/>
            <w:webHidden/>
          </w:rPr>
          <w:fldChar w:fldCharType="begin"/>
        </w:r>
        <w:r w:rsidR="008000F6">
          <w:rPr>
            <w:noProof/>
            <w:webHidden/>
          </w:rPr>
          <w:instrText xml:space="preserve"> PAGEREF _Toc521320628 \h </w:instrText>
        </w:r>
        <w:r w:rsidR="008000F6">
          <w:rPr>
            <w:noProof/>
            <w:webHidden/>
          </w:rPr>
        </w:r>
        <w:r w:rsidR="008000F6">
          <w:rPr>
            <w:noProof/>
            <w:webHidden/>
          </w:rPr>
          <w:fldChar w:fldCharType="separate"/>
        </w:r>
        <w:r w:rsidR="008000F6">
          <w:rPr>
            <w:noProof/>
            <w:webHidden/>
          </w:rPr>
          <w:t>19</w:t>
        </w:r>
        <w:r w:rsidR="008000F6">
          <w:rPr>
            <w:noProof/>
            <w:webHidden/>
          </w:rPr>
          <w:fldChar w:fldCharType="end"/>
        </w:r>
      </w:hyperlink>
    </w:p>
    <w:p w14:paraId="6B6DC5D3" w14:textId="7BAE976E" w:rsidR="0012388D" w:rsidRDefault="00B55714" w:rsidP="00C91C02">
      <w:r w:rsidRPr="00346622">
        <w:rPr>
          <w:rFonts w:cs="Arial"/>
          <w:sz w:val="20"/>
          <w:szCs w:val="20"/>
        </w:rPr>
        <w:fldChar w:fldCharType="end"/>
      </w:r>
    </w:p>
    <w:p w14:paraId="6D4B2776" w14:textId="77777777" w:rsidR="007F7BF7" w:rsidRDefault="007F7BF7" w:rsidP="00CA5734"/>
    <w:p w14:paraId="7735C4C9" w14:textId="4F189742"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06D24CD" w14:textId="77777777" w:rsidR="000541DB" w:rsidRPr="000541DB" w:rsidRDefault="000541DB" w:rsidP="000541DB">
      <w:pPr>
        <w:rPr>
          <w:szCs w:val="22"/>
        </w:rPr>
      </w:pPr>
    </w:p>
    <w:p w14:paraId="5629B4D9" w14:textId="77777777" w:rsidR="000541DB" w:rsidRPr="000541DB" w:rsidRDefault="000541DB" w:rsidP="000541DB">
      <w:pPr>
        <w:rPr>
          <w:szCs w:val="22"/>
        </w:rPr>
      </w:pPr>
      <w:r w:rsidRPr="000541DB">
        <w:rPr>
          <w:szCs w:val="22"/>
        </w:rPr>
        <w:t xml:space="preserve">The </w:t>
      </w:r>
      <w:hyperlink r:id="rId19" w:history="1">
        <w:r w:rsidRPr="000541DB">
          <w:rPr>
            <w:color w:val="3333FF"/>
            <w:szCs w:val="22"/>
            <w:u w:val="single"/>
          </w:rPr>
          <w:t>following document</w:t>
        </w:r>
      </w:hyperlink>
      <w:r w:rsidRPr="000541DB">
        <w:rPr>
          <w:szCs w:val="22"/>
          <w:vertAlign w:val="superscript"/>
        </w:rPr>
        <w:footnoteReference w:id="2"/>
      </w:r>
      <w:r w:rsidRPr="000541DB">
        <w:rPr>
          <w:szCs w:val="22"/>
        </w:rPr>
        <w:t xml:space="preserve"> which informed the assessment of this application is available on the FSANZ website:</w:t>
      </w:r>
    </w:p>
    <w:p w14:paraId="190BC3A6" w14:textId="77777777" w:rsidR="000541DB" w:rsidRPr="000541DB" w:rsidRDefault="000541DB" w:rsidP="000541DB">
      <w:pPr>
        <w:rPr>
          <w:szCs w:val="22"/>
        </w:rPr>
      </w:pPr>
    </w:p>
    <w:p w14:paraId="735D7079" w14:textId="77777777" w:rsidR="000541DB" w:rsidRPr="000541DB" w:rsidRDefault="000541DB" w:rsidP="000541DB">
      <w:pPr>
        <w:ind w:left="1134" w:hanging="1134"/>
      </w:pPr>
      <w:r w:rsidRPr="000541DB">
        <w:t>SD1</w:t>
      </w:r>
      <w:r w:rsidRPr="000541DB">
        <w:tab/>
        <w:t>Risk and technical assessment report</w:t>
      </w:r>
    </w:p>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521320608"/>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321E20FD" w14:textId="77777777" w:rsidR="000541DB" w:rsidRPr="0044619E" w:rsidRDefault="000541DB" w:rsidP="000541DB">
      <w:r w:rsidRPr="0044619E">
        <w:t xml:space="preserve">Earlee Products Pty Ltd submitted an application in October 2016 to amend the </w:t>
      </w:r>
      <w:r w:rsidRPr="0044619E">
        <w:rPr>
          <w:i/>
        </w:rPr>
        <w:t>Australia New Zealand Food Standards Code</w:t>
      </w:r>
      <w:r w:rsidRPr="0044619E">
        <w:t xml:space="preserve"> to permit the use of polyoxyethylene (20) sorbitan monolaurate, more commonly known as polysorbate 20, as a food additive. </w:t>
      </w:r>
    </w:p>
    <w:p w14:paraId="48E4610D" w14:textId="77777777" w:rsidR="000541DB" w:rsidRPr="0044619E" w:rsidRDefault="000541DB" w:rsidP="000541DB"/>
    <w:p w14:paraId="7C6C1313" w14:textId="2D1E8978" w:rsidR="000541DB" w:rsidRPr="0044619E" w:rsidRDefault="000541DB" w:rsidP="000541DB">
      <w:pPr>
        <w:rPr>
          <w:lang w:eastAsia="en-AU" w:bidi="ar-SA"/>
        </w:rPr>
      </w:pPr>
      <w:r w:rsidRPr="0044619E">
        <w:t xml:space="preserve">The applicant sought permission to use </w:t>
      </w:r>
      <w:r w:rsidR="003E0AEF">
        <w:t>p</w:t>
      </w:r>
      <w:r w:rsidRPr="0044619E">
        <w:t xml:space="preserve">olysorbate 20 as an emulsifier for use in processed meat products and processed fish and fish products. </w:t>
      </w:r>
      <w:r w:rsidRPr="0044619E">
        <w:rPr>
          <w:lang w:bidi="ar-SA"/>
        </w:rPr>
        <w:t xml:space="preserve">Emulsifiers are food additives that help two liquids </w:t>
      </w:r>
      <w:r w:rsidR="004977DC" w:rsidRPr="0044619E">
        <w:rPr>
          <w:lang w:bidi="ar-SA"/>
        </w:rPr>
        <w:t xml:space="preserve">to </w:t>
      </w:r>
      <w:r w:rsidRPr="0044619E">
        <w:rPr>
          <w:lang w:bidi="ar-SA"/>
        </w:rPr>
        <w:t xml:space="preserve">mix. </w:t>
      </w:r>
      <w:r w:rsidRPr="0044619E">
        <w:t xml:space="preserve">Polysorbate 20 would </w:t>
      </w:r>
      <w:r w:rsidRPr="0044619E">
        <w:rPr>
          <w:lang w:eastAsia="en-AU" w:bidi="ar-SA"/>
        </w:rPr>
        <w:t>be added to solutions of antimicrobial agents the applicant wishes to use as dips or sprays on processed raw and whole, comminuted meat, poultry, seafood and game products. Antimicrobial solutions extend the shelf-life of the treated food by inhibiting the growth of spoilage bacteria, and also pathogenic bacteria.</w:t>
      </w:r>
    </w:p>
    <w:p w14:paraId="5924BA8F" w14:textId="77777777" w:rsidR="000541DB" w:rsidRPr="0044619E" w:rsidRDefault="000541DB" w:rsidP="000541DB">
      <w:pPr>
        <w:rPr>
          <w:lang w:eastAsia="en-AU" w:bidi="ar-SA"/>
        </w:rPr>
      </w:pPr>
    </w:p>
    <w:p w14:paraId="7115E71F" w14:textId="35BB0BD7" w:rsidR="000541DB" w:rsidRPr="0044619E" w:rsidRDefault="000541DB" w:rsidP="000541DB">
      <w:pPr>
        <w:rPr>
          <w:lang w:eastAsia="en-AU" w:bidi="ar-SA"/>
        </w:rPr>
      </w:pPr>
      <w:r w:rsidRPr="0044619E">
        <w:rPr>
          <w:lang w:bidi="ar-SA"/>
        </w:rPr>
        <w:t xml:space="preserve">The applicant states that polysorbate 20 has superior emulsifying properties compared to other approved emulsifiers, including other polysorbates. </w:t>
      </w:r>
      <w:r w:rsidRPr="0044619E">
        <w:rPr>
          <w:lang w:eastAsia="en-AU" w:bidi="ar-SA"/>
        </w:rPr>
        <w:t>Polysorbates, including polysorbate 20, have permissions in a number of national and international regulations, including Codex Alimentarius, the European Union, the United States of America, Japan and Singapore.</w:t>
      </w:r>
    </w:p>
    <w:p w14:paraId="70509508" w14:textId="77777777" w:rsidR="000541DB" w:rsidRPr="0044619E" w:rsidRDefault="000541DB" w:rsidP="000541DB"/>
    <w:p w14:paraId="5E724F03" w14:textId="2642E5B9" w:rsidR="000541DB" w:rsidRPr="0044619E" w:rsidRDefault="000541DB" w:rsidP="000541DB">
      <w:r w:rsidRPr="0044619E">
        <w:t xml:space="preserve">FSANZ determined that polysorbate 20 would perform the role stated in the application in the amounts and form proposed. Its use was therefore technologically justified and it has proven advantages over currently permitted emulsifiers. </w:t>
      </w:r>
    </w:p>
    <w:p w14:paraId="624E10B6" w14:textId="77777777" w:rsidR="000541DB" w:rsidRPr="0044619E" w:rsidRDefault="000541DB" w:rsidP="000541DB"/>
    <w:p w14:paraId="4E368661" w14:textId="5E96DA9E" w:rsidR="000541DB" w:rsidRPr="0044619E" w:rsidRDefault="000541DB" w:rsidP="000541DB">
      <w:r w:rsidRPr="0044619E">
        <w:t xml:space="preserve">All substances used as food additives must be listed in the statement of ingredients on most packaged foods.  </w:t>
      </w:r>
    </w:p>
    <w:p w14:paraId="4DB22F83" w14:textId="77777777" w:rsidR="000020EB" w:rsidRPr="0044619E" w:rsidRDefault="000020EB" w:rsidP="000020EB"/>
    <w:p w14:paraId="168960AB" w14:textId="1BEDAA3D" w:rsidR="00494442" w:rsidRPr="0044619E" w:rsidRDefault="00494442" w:rsidP="00494442">
      <w:r w:rsidRPr="0044619E">
        <w:t xml:space="preserve">Polysorbates are a group of chemically similar substances that includes three currently permitted food additives and polysorbate 20 (the food additive of this application). The hazard assessment confirmed that the group Acceptable Daily Intake (ADI) set by the Joint FAO/WHO Expert Committee on Food Additives (JECFA) and the US National Toxicology Program (NTP) was appropriate. This group ADI </w:t>
      </w:r>
      <w:r w:rsidR="00F66E06">
        <w:t>covers</w:t>
      </w:r>
      <w:r w:rsidR="00F66E06" w:rsidRPr="0044619E">
        <w:t xml:space="preserve"> </w:t>
      </w:r>
      <w:r w:rsidRPr="0044619E">
        <w:t>polysorbate 20.</w:t>
      </w:r>
    </w:p>
    <w:p w14:paraId="1C68ECAB" w14:textId="77777777" w:rsidR="00494442" w:rsidRPr="0044619E" w:rsidRDefault="00494442" w:rsidP="00494442"/>
    <w:p w14:paraId="72CF86FF" w14:textId="01868157" w:rsidR="00494442" w:rsidRPr="0044619E" w:rsidRDefault="00494442" w:rsidP="00494442">
      <w:r w:rsidRPr="0044619E">
        <w:t xml:space="preserve">A refined dietary exposure </w:t>
      </w:r>
      <w:r w:rsidR="005B1769">
        <w:t xml:space="preserve">assessment </w:t>
      </w:r>
      <w:r w:rsidRPr="0044619E">
        <w:t>was conducted that included the baseline of current polysorbate permissions and industry usage, and the additional exposure due to the requested permission for polysorbate 20. The dietary exposure did not exceed the ADI for any population groups, even at the 90</w:t>
      </w:r>
      <w:r w:rsidRPr="0044619E">
        <w:rPr>
          <w:vertAlign w:val="superscript"/>
        </w:rPr>
        <w:t>th</w:t>
      </w:r>
      <w:r w:rsidRPr="0044619E">
        <w:t xml:space="preserve"> percentile.</w:t>
      </w:r>
    </w:p>
    <w:p w14:paraId="38A52E96" w14:textId="77777777" w:rsidR="00494442" w:rsidRPr="0044619E" w:rsidRDefault="00494442" w:rsidP="00494442"/>
    <w:p w14:paraId="18E4D582" w14:textId="1B0507F3" w:rsidR="00494442" w:rsidRPr="0044619E" w:rsidRDefault="00494442" w:rsidP="00494442">
      <w:r w:rsidRPr="0044619E">
        <w:t xml:space="preserve">No public health and safety issues were identified from FSANZ’s assessment of permitting polysorbate 20 for the proposed purpose in addition to the currently permitted polysorbates.  </w:t>
      </w:r>
    </w:p>
    <w:p w14:paraId="5FE42296" w14:textId="77777777" w:rsidR="00494442" w:rsidRPr="0044619E" w:rsidRDefault="00494442" w:rsidP="000020EB">
      <w:pPr>
        <w:rPr>
          <w:lang w:val="en-AU"/>
        </w:rPr>
      </w:pPr>
    </w:p>
    <w:p w14:paraId="47D5A030" w14:textId="77CFD7DB" w:rsidR="000020EB" w:rsidRPr="0044619E" w:rsidRDefault="000020EB" w:rsidP="000020EB">
      <w:r w:rsidRPr="0044619E">
        <w:rPr>
          <w:lang w:val="en-AU"/>
        </w:rPr>
        <w:t xml:space="preserve">The FSANZ Board has approved a draft variation to </w:t>
      </w:r>
      <w:r w:rsidRPr="0044619E">
        <w:t>Schedules 8 and 15 of the Code to permit the use of polysorbate 20 as a food additive. This permission will be for the specific food groups proposed by the applicant being food categories 8.2, 8.3 and 9.2 in the table to section S15—5 and subject to a maximum permitted l</w:t>
      </w:r>
      <w:r w:rsidR="00A405CD" w:rsidRPr="0044619E">
        <w:t>evel</w:t>
      </w:r>
      <w:r w:rsidRPr="0044619E">
        <w:t xml:space="preserve"> of 500 mg/kg.</w:t>
      </w:r>
    </w:p>
    <w:p w14:paraId="0DDFD03B" w14:textId="5895F311" w:rsidR="000020EB" w:rsidRPr="0044619E" w:rsidRDefault="000020EB" w:rsidP="000541DB"/>
    <w:p w14:paraId="0B9AAB72" w14:textId="77777777" w:rsidR="000020EB" w:rsidRPr="000541DB" w:rsidRDefault="000020EB" w:rsidP="000541DB">
      <w:pPr>
        <w:rPr>
          <w:color w:val="FF0000"/>
        </w:rPr>
      </w:pPr>
    </w:p>
    <w:p w14:paraId="143F9864" w14:textId="77777777" w:rsidR="00C836FF" w:rsidRDefault="00C836FF" w:rsidP="002421C1">
      <w:pPr>
        <w:pStyle w:val="Heading1"/>
      </w:pPr>
      <w:r>
        <w:br w:type="page"/>
      </w:r>
    </w:p>
    <w:p w14:paraId="66C5FAE9" w14:textId="77777777" w:rsidR="007A53BF" w:rsidRPr="007A53BF" w:rsidRDefault="007A53BF" w:rsidP="00CE59AA">
      <w:pPr>
        <w:pStyle w:val="Heading1"/>
      </w:pPr>
      <w:bookmarkStart w:id="10" w:name="_Toc300933417"/>
      <w:bookmarkStart w:id="11" w:name="_Toc370223464"/>
      <w:bookmarkStart w:id="12" w:name="_Toc521320609"/>
      <w:r w:rsidRPr="007A53BF">
        <w:lastRenderedPageBreak/>
        <w:t>1</w:t>
      </w:r>
      <w:r w:rsidRPr="007A53BF">
        <w:tab/>
        <w:t>Introduction</w:t>
      </w:r>
      <w:bookmarkEnd w:id="10"/>
      <w:bookmarkEnd w:id="11"/>
      <w:bookmarkEnd w:id="12"/>
    </w:p>
    <w:p w14:paraId="54379A87" w14:textId="60DCD75B" w:rsidR="007A53BF" w:rsidRPr="00CE59AA" w:rsidRDefault="007A53BF" w:rsidP="00CE59AA">
      <w:pPr>
        <w:pStyle w:val="Heading2"/>
        <w:rPr>
          <w:color w:val="FF0000"/>
        </w:rPr>
      </w:pPr>
      <w:bookmarkStart w:id="13" w:name="_Toc300761890"/>
      <w:bookmarkStart w:id="14" w:name="_Toc300933419"/>
      <w:bookmarkStart w:id="15" w:name="_Toc370223465"/>
      <w:bookmarkStart w:id="16" w:name="_Toc521320610"/>
      <w:r w:rsidRPr="007A53BF">
        <w:t>1.1</w:t>
      </w:r>
      <w:r w:rsidRPr="007A53BF">
        <w:tab/>
        <w:t>The Applicant</w:t>
      </w:r>
      <w:bookmarkEnd w:id="13"/>
      <w:bookmarkEnd w:id="14"/>
      <w:bookmarkEnd w:id="15"/>
      <w:bookmarkEnd w:id="16"/>
    </w:p>
    <w:p w14:paraId="5771E160" w14:textId="0FA729E6" w:rsidR="00533234" w:rsidRPr="00533234" w:rsidRDefault="00533234" w:rsidP="00533234">
      <w:bookmarkStart w:id="17" w:name="_Toc300761891"/>
      <w:bookmarkStart w:id="18" w:name="_Toc300933420"/>
      <w:bookmarkStart w:id="19" w:name="_Toc370223466"/>
      <w:r w:rsidRPr="00533234">
        <w:t xml:space="preserve">The applicant </w:t>
      </w:r>
      <w:r>
        <w:t>wa</w:t>
      </w:r>
      <w:r w:rsidRPr="00533234">
        <w:t>s Earlee Products Pty Ltd, a manufacturer and supplier of ingredients and food premixes in Australia.</w:t>
      </w:r>
    </w:p>
    <w:p w14:paraId="74F19653" w14:textId="6CFCD4BB" w:rsidR="007A53BF" w:rsidRPr="007A53BF" w:rsidRDefault="007A53BF" w:rsidP="00CE59AA">
      <w:pPr>
        <w:pStyle w:val="Heading2"/>
      </w:pPr>
      <w:bookmarkStart w:id="20" w:name="_Toc521320611"/>
      <w:r w:rsidRPr="007A53BF">
        <w:t>1.2</w:t>
      </w:r>
      <w:r w:rsidRPr="007A53BF">
        <w:tab/>
      </w:r>
      <w:r w:rsidRPr="008E74D2">
        <w:t>The Application</w:t>
      </w:r>
      <w:bookmarkEnd w:id="17"/>
      <w:bookmarkEnd w:id="18"/>
      <w:bookmarkEnd w:id="19"/>
      <w:bookmarkEnd w:id="20"/>
    </w:p>
    <w:p w14:paraId="053E117F" w14:textId="64984D4E" w:rsidR="008E74D2" w:rsidRPr="008E74D2" w:rsidRDefault="008E74D2" w:rsidP="008E74D2">
      <w:bookmarkStart w:id="21" w:name="_Toc300761892"/>
      <w:bookmarkStart w:id="22" w:name="_Toc300933421"/>
      <w:bookmarkStart w:id="23" w:name="_Toc370223467"/>
      <w:r w:rsidRPr="008E74D2">
        <w:t xml:space="preserve">The purpose of the application </w:t>
      </w:r>
      <w:r>
        <w:t>wa</w:t>
      </w:r>
      <w:r w:rsidRPr="008E74D2">
        <w:t>s to seek permission for polyoxyethylene (20) sorbitan monolaurate (common name polysorbate 20) as a new emulsifier food additive</w:t>
      </w:r>
      <w:r w:rsidR="005B1769">
        <w:t>.</w:t>
      </w:r>
      <w:r w:rsidRPr="008E74D2">
        <w:t xml:space="preserve">. Specifically the applicant proposes using polysorbate 20 in processed raw and whole, comminuted meat, poultry and game products (including but not exclusively goat, kangaroo, buffalo, emu, crocodile, wild boar and pheasant) and processed fish and fish products. The applicant intends to use the food additive to </w:t>
      </w:r>
      <w:r w:rsidRPr="008E74D2">
        <w:rPr>
          <w:lang w:bidi="ar-SA"/>
        </w:rPr>
        <w:t xml:space="preserve">improve wetting properties of the </w:t>
      </w:r>
      <w:r w:rsidR="00D41237" w:rsidRPr="008E74D2">
        <w:rPr>
          <w:lang w:bidi="ar-SA"/>
        </w:rPr>
        <w:t>surface</w:t>
      </w:r>
      <w:r w:rsidR="00D41237">
        <w:rPr>
          <w:lang w:bidi="ar-SA"/>
        </w:rPr>
        <w:t xml:space="preserve"> of food</w:t>
      </w:r>
      <w:r w:rsidR="00D41237" w:rsidRPr="008E74D2">
        <w:rPr>
          <w:lang w:bidi="ar-SA"/>
        </w:rPr>
        <w:t xml:space="preserve"> </w:t>
      </w:r>
      <w:r w:rsidRPr="008E74D2">
        <w:rPr>
          <w:lang w:bidi="ar-SA"/>
        </w:rPr>
        <w:t>treated with antimicrobial agents.</w:t>
      </w:r>
    </w:p>
    <w:p w14:paraId="3931ED2F" w14:textId="77777777" w:rsidR="008E74D2" w:rsidRPr="008E74D2" w:rsidRDefault="008E74D2" w:rsidP="008E74D2"/>
    <w:p w14:paraId="4B64F8D1" w14:textId="7B5BA78D" w:rsidR="008E74D2" w:rsidRPr="008E74D2" w:rsidRDefault="008E74D2" w:rsidP="008E74D2">
      <w:r w:rsidRPr="008E74D2">
        <w:t>Th</w:t>
      </w:r>
      <w:r w:rsidR="00D555E7">
        <w:t>is</w:t>
      </w:r>
      <w:r w:rsidRPr="008E74D2">
        <w:t xml:space="preserve"> food additive has the Codex Alimentarius International Numbering System (INS) </w:t>
      </w:r>
      <w:r w:rsidR="00D555E7">
        <w:t xml:space="preserve">assigned </w:t>
      </w:r>
      <w:r w:rsidRPr="008E74D2">
        <w:t xml:space="preserve">for food additives of number 432. Unless otherwise noted the common name of polysorbate 20 will be used throughout the report. </w:t>
      </w:r>
    </w:p>
    <w:p w14:paraId="7BAA5478" w14:textId="77777777" w:rsidR="008E74D2" w:rsidRPr="008E74D2" w:rsidRDefault="008E74D2" w:rsidP="008E74D2"/>
    <w:p w14:paraId="50778B09" w14:textId="1B8F58EF" w:rsidR="008E74D2" w:rsidRPr="008E74D2" w:rsidRDefault="008E74D2" w:rsidP="008E74D2">
      <w:r w:rsidRPr="008E74D2">
        <w:t xml:space="preserve">There are a number of similar substances which </w:t>
      </w:r>
      <w:r>
        <w:t>we</w:t>
      </w:r>
      <w:r w:rsidRPr="008E74D2">
        <w:t xml:space="preserve">re considered part of the polysorbate group of food additives. This group of polysorbates </w:t>
      </w:r>
      <w:r>
        <w:t>we</w:t>
      </w:r>
      <w:r w:rsidRPr="008E74D2">
        <w:t xml:space="preserve">re considered together for the purposes of risk assessment; i.e. the Joint FAO/WHO Expert Committee on Food Additives (JECFA) and European Food Safety Authority (EFSA) </w:t>
      </w:r>
      <w:r w:rsidR="005B1769">
        <w:t>established</w:t>
      </w:r>
      <w:r w:rsidR="005B1769" w:rsidRPr="008E74D2">
        <w:t xml:space="preserve"> </w:t>
      </w:r>
      <w:r w:rsidRPr="008E74D2">
        <w:t xml:space="preserve">a group Acceptable Daily Intake (ADI) for the polysorbates. Section 2.1 of the Supporting Document 1 (SD1) lists the common names, </w:t>
      </w:r>
      <w:r w:rsidR="005B1769">
        <w:t>chemical</w:t>
      </w:r>
      <w:r w:rsidR="005B1769" w:rsidRPr="008E74D2">
        <w:t xml:space="preserve"> </w:t>
      </w:r>
      <w:r w:rsidRPr="008E74D2">
        <w:t xml:space="preserve">names and INS numbers of the five substances that make up the group of polysorbates. This table is not repeated here but the list is polysorbate 20, 40, 60, 65 and 80. </w:t>
      </w:r>
    </w:p>
    <w:p w14:paraId="52B25BCE" w14:textId="53F4C0EF" w:rsidR="007A53BF" w:rsidRPr="007A53BF" w:rsidRDefault="007A53BF" w:rsidP="00CE59AA">
      <w:pPr>
        <w:pStyle w:val="Heading2"/>
      </w:pPr>
      <w:bookmarkStart w:id="24" w:name="_Toc521320612"/>
      <w:r w:rsidRPr="007A53BF">
        <w:t>1.3</w:t>
      </w:r>
      <w:r w:rsidRPr="007A53BF">
        <w:tab/>
        <w:t>The current Standard</w:t>
      </w:r>
      <w:bookmarkEnd w:id="21"/>
      <w:bookmarkEnd w:id="22"/>
      <w:bookmarkEnd w:id="23"/>
      <w:r w:rsidR="008E74D2">
        <w:t>s</w:t>
      </w:r>
      <w:bookmarkEnd w:id="24"/>
    </w:p>
    <w:p w14:paraId="3742DE3C" w14:textId="77777777" w:rsidR="008E74D2" w:rsidRPr="008E74D2" w:rsidRDefault="008E74D2" w:rsidP="008E74D2">
      <w:bookmarkStart w:id="25" w:name="_Toc286391007"/>
      <w:bookmarkStart w:id="26" w:name="_Toc300933423"/>
      <w:bookmarkStart w:id="27" w:name="_Toc370223468"/>
      <w:bookmarkStart w:id="28" w:name="_Toc175381432"/>
      <w:r w:rsidRPr="008E74D2">
        <w:t>Australian and New Zealand food laws require food for sale to comply with the following Australia New Zealand Food Standards Code (the Code) requirements.</w:t>
      </w:r>
    </w:p>
    <w:p w14:paraId="1B54722D" w14:textId="77777777" w:rsidR="008E74D2" w:rsidRPr="008E74D2" w:rsidRDefault="008E74D2" w:rsidP="008E74D2">
      <w:pPr>
        <w:rPr>
          <w:i/>
        </w:rPr>
      </w:pPr>
    </w:p>
    <w:p w14:paraId="11ACDBAD" w14:textId="77777777" w:rsidR="008E74D2" w:rsidRPr="008E74D2" w:rsidRDefault="008E74D2" w:rsidP="008E74D2">
      <w:pPr>
        <w:rPr>
          <w:i/>
        </w:rPr>
      </w:pPr>
      <w:r w:rsidRPr="008E74D2">
        <w:rPr>
          <w:i/>
        </w:rPr>
        <w:t>Permitted use</w:t>
      </w:r>
    </w:p>
    <w:p w14:paraId="2F743F96" w14:textId="77777777" w:rsidR="008E74D2" w:rsidRPr="008E74D2" w:rsidRDefault="008E74D2" w:rsidP="008E74D2"/>
    <w:p w14:paraId="19B818C3" w14:textId="77777777" w:rsidR="008E74D2" w:rsidRPr="008E74D2" w:rsidRDefault="008E74D2" w:rsidP="008E74D2">
      <w:r w:rsidRPr="008E74D2">
        <w:t>Paragraph 1.1.1—10(6)(a) of the Code provides that food for sale cannot contain, as an ingredient or component, a substance ‘used as a food additive’ unless that substance’s use as a food additive is expressly permitted by the Code.</w:t>
      </w:r>
    </w:p>
    <w:p w14:paraId="469ABE51" w14:textId="77777777" w:rsidR="008E74D2" w:rsidRPr="008E74D2" w:rsidRDefault="008E74D2" w:rsidP="008E74D2"/>
    <w:p w14:paraId="3983FC39" w14:textId="77777777" w:rsidR="008E74D2" w:rsidRPr="008E74D2" w:rsidRDefault="008E74D2" w:rsidP="008E74D2">
      <w:r w:rsidRPr="008E74D2">
        <w:t>Section 1.3.1—3 details which substances are permitted to be used as a food additive for the purposes of the Code. The permitted food additives for different food categories are listed in the table to section S15—5 of the Code.</w:t>
      </w:r>
    </w:p>
    <w:p w14:paraId="176FE589" w14:textId="77777777" w:rsidR="008E74D2" w:rsidRPr="008E74D2" w:rsidRDefault="008E74D2" w:rsidP="008E74D2"/>
    <w:p w14:paraId="3AC56F8B" w14:textId="77777777" w:rsidR="008E74D2" w:rsidRPr="008E74D2" w:rsidRDefault="008E74D2" w:rsidP="008E74D2">
      <w:r w:rsidRPr="008E74D2">
        <w:t>Section 1.1.2—11 also provides that a substance is ‘used as a food additive’ if it is added to a food to perform one or more technological functions listed in Schedule 14 of the Code and is one of the following: a substance identified in the table to section S15—5 as permitted food additive; a substance identified in section 16—2 as an additive permitted at GMP; a substance identified in section 16—3 as an a colouring permitted at GMP; a substance identified in section 16—4 as an a colouring permitted at a  maximum level; or a prescribed non-traditional food.</w:t>
      </w:r>
    </w:p>
    <w:p w14:paraId="4354F8DE" w14:textId="77777777" w:rsidR="008E74D2" w:rsidRPr="008E74D2" w:rsidRDefault="008E74D2" w:rsidP="008E74D2"/>
    <w:p w14:paraId="2DDC4087" w14:textId="77777777" w:rsidR="008E74D2" w:rsidRPr="008E74D2" w:rsidRDefault="008E74D2" w:rsidP="008E74D2">
      <w:r w:rsidRPr="008E74D2">
        <w:t xml:space="preserve">Schedule 14 lists the permitted technological purposes of food additives. The table in section </w:t>
      </w:r>
      <w:r w:rsidRPr="008E74D2">
        <w:lastRenderedPageBreak/>
        <w:t>S14—2 of that Schedule provides that use as an emulsifier is a permitted purpose.</w:t>
      </w:r>
    </w:p>
    <w:p w14:paraId="75A459C0" w14:textId="77777777" w:rsidR="008E74D2" w:rsidRPr="008E74D2" w:rsidRDefault="008E74D2" w:rsidP="008E74D2">
      <w:r w:rsidRPr="008E74D2" w:rsidDel="00E73040">
        <w:t xml:space="preserve"> </w:t>
      </w:r>
    </w:p>
    <w:p w14:paraId="3D140B5E" w14:textId="77777777" w:rsidR="008E74D2" w:rsidRPr="008E74D2" w:rsidRDefault="008E74D2" w:rsidP="008E74D2">
      <w:r w:rsidRPr="008E74D2">
        <w:t xml:space="preserve">Schedules 15 and 16 list the specific food additive permissions for different categories of food products. </w:t>
      </w:r>
    </w:p>
    <w:p w14:paraId="4504EF4A" w14:textId="77777777" w:rsidR="008E74D2" w:rsidRPr="008E74D2" w:rsidRDefault="008E74D2" w:rsidP="008E74D2"/>
    <w:p w14:paraId="695CB110" w14:textId="77777777" w:rsidR="008E74D2" w:rsidRPr="008E74D2" w:rsidRDefault="008E74D2" w:rsidP="008E74D2">
      <w:r w:rsidRPr="008E74D2">
        <w:t xml:space="preserve">The Code currently permits the use of three polysorbate substances as food additives: polysorbate 80 (INS 433), polysorbate 60 (INS 435) and polysorbate 65 (INS 436). They are listed in the table to section S16—2 as food additives permitted at GMP (Good Manufacturing Practice) and so are permitted in a wide range of food categories as provided within the table to section S15—5. </w:t>
      </w:r>
    </w:p>
    <w:p w14:paraId="2401A215" w14:textId="77777777" w:rsidR="008E74D2" w:rsidRPr="008E74D2" w:rsidRDefault="008E74D2" w:rsidP="008E74D2"/>
    <w:p w14:paraId="6DB3CF5A" w14:textId="061BFA08" w:rsidR="008E74D2" w:rsidRPr="008E74D2" w:rsidRDefault="008E74D2" w:rsidP="008E74D2">
      <w:r w:rsidRPr="008E74D2">
        <w:t>Polysorbate 20 and polysorbate 40 are not currently permitted food additive</w:t>
      </w:r>
      <w:r w:rsidR="002E684A">
        <w:t>s in Australia and New Zealand</w:t>
      </w:r>
      <w:r w:rsidRPr="008E74D2">
        <w:t>.</w:t>
      </w:r>
    </w:p>
    <w:p w14:paraId="262693BA" w14:textId="77777777" w:rsidR="008E74D2" w:rsidRPr="008E74D2" w:rsidRDefault="008E74D2" w:rsidP="008E74D2"/>
    <w:p w14:paraId="30FE0CEE" w14:textId="77777777" w:rsidR="008E74D2" w:rsidRPr="008E74D2" w:rsidRDefault="008E74D2" w:rsidP="008E74D2">
      <w:pPr>
        <w:rPr>
          <w:i/>
        </w:rPr>
      </w:pPr>
      <w:r w:rsidRPr="008E74D2">
        <w:rPr>
          <w:i/>
        </w:rPr>
        <w:t>Labelling</w:t>
      </w:r>
    </w:p>
    <w:p w14:paraId="1D42CF72" w14:textId="77777777" w:rsidR="008E74D2" w:rsidRPr="008E74D2" w:rsidRDefault="008E74D2" w:rsidP="008E74D2"/>
    <w:p w14:paraId="271CF8BF" w14:textId="77777777" w:rsidR="008E74D2" w:rsidRPr="008E74D2" w:rsidRDefault="008E74D2" w:rsidP="008E74D2">
      <w:r w:rsidRPr="008E74D2">
        <w:t>Paragraph 1.1.1—10(8) of the Code provides that food for sale must comply with all relevant labelling requirements imposed by the Code for that food.</w:t>
      </w:r>
    </w:p>
    <w:p w14:paraId="1D7F70EF" w14:textId="77777777" w:rsidR="008E74D2" w:rsidRPr="008E74D2" w:rsidRDefault="008E74D2" w:rsidP="008E74D2"/>
    <w:p w14:paraId="3D1C477B" w14:textId="77777777" w:rsidR="008E74D2" w:rsidRPr="008E74D2" w:rsidRDefault="008E74D2" w:rsidP="008E74D2">
      <w:r w:rsidRPr="008E74D2">
        <w:t>Standard 1.2.4 of the Code generally requires food products to be labelled with a statement of ingredients. Subsection 1.2.4—7(1) of that Standard requires food additives to be declared in the statement of ingredients.</w:t>
      </w:r>
    </w:p>
    <w:p w14:paraId="00EF1E8B" w14:textId="77777777" w:rsidR="008E74D2" w:rsidRPr="008E74D2" w:rsidRDefault="008E74D2" w:rsidP="008E74D2"/>
    <w:p w14:paraId="70735A57" w14:textId="77777777" w:rsidR="008E74D2" w:rsidRPr="008E74D2" w:rsidRDefault="008E74D2" w:rsidP="008E74D2">
      <w:r w:rsidRPr="008E74D2">
        <w:t xml:space="preserve">Schedule 8 (for statement of ingredients) lists the names and code numbers of food additives that are to be used for labelling purposes. </w:t>
      </w:r>
    </w:p>
    <w:p w14:paraId="145D9D04" w14:textId="77777777" w:rsidR="008E74D2" w:rsidRPr="008E74D2" w:rsidRDefault="008E74D2" w:rsidP="008E74D2"/>
    <w:p w14:paraId="665D6690" w14:textId="77777777" w:rsidR="008E74D2" w:rsidRPr="008E74D2" w:rsidRDefault="008E74D2" w:rsidP="008E74D2">
      <w:r w:rsidRPr="008E74D2">
        <w:t>Schedule 8 does not refer to polysorbate 20 as this substance is not currently permitted to be added to food as a food additive.</w:t>
      </w:r>
    </w:p>
    <w:p w14:paraId="2834806D" w14:textId="77777777" w:rsidR="008E74D2" w:rsidRPr="008E74D2" w:rsidRDefault="008E74D2" w:rsidP="008E74D2"/>
    <w:p w14:paraId="012F8E79" w14:textId="77777777" w:rsidR="008E74D2" w:rsidRPr="008E74D2" w:rsidRDefault="008E74D2" w:rsidP="008E74D2">
      <w:pPr>
        <w:rPr>
          <w:i/>
        </w:rPr>
      </w:pPr>
      <w:r w:rsidRPr="008E74D2">
        <w:rPr>
          <w:i/>
        </w:rPr>
        <w:t>Identity and purity requirements</w:t>
      </w:r>
    </w:p>
    <w:p w14:paraId="18796644" w14:textId="77777777" w:rsidR="008E74D2" w:rsidRPr="008E74D2" w:rsidRDefault="008E74D2" w:rsidP="008E74D2"/>
    <w:p w14:paraId="0454FBED" w14:textId="16A13994" w:rsidR="008E74D2" w:rsidRPr="008E74D2" w:rsidRDefault="008E74D2" w:rsidP="008E74D2">
      <w:r w:rsidRPr="008E74D2">
        <w:t xml:space="preserve">Paragraph 1.1.1—15(1)(a) of the Code requires substances used as food additives to comply with any relevant identity and purity specifications listed in Schedule 3 of the Code. </w:t>
      </w:r>
      <w:r w:rsidR="00C35D2F">
        <w:t xml:space="preserve">Schedule 3 provides specifications for </w:t>
      </w:r>
      <w:r w:rsidR="00C35D2F" w:rsidRPr="008E74D2">
        <w:t>polysorbate 20</w:t>
      </w:r>
      <w:r w:rsidR="00C35D2F">
        <w:t>. See section 2.2.3 below.</w:t>
      </w:r>
    </w:p>
    <w:p w14:paraId="4B515B12" w14:textId="77777777" w:rsidR="008E74D2" w:rsidRPr="008E74D2" w:rsidRDefault="008E74D2" w:rsidP="008E74D2">
      <w:pPr>
        <w:keepNext/>
        <w:spacing w:before="240" w:after="240"/>
        <w:ind w:left="851" w:hanging="851"/>
        <w:outlineLvl w:val="2"/>
        <w:rPr>
          <w:b/>
          <w:bCs/>
          <w:color w:val="000000" w:themeColor="text1"/>
          <w:lang w:eastAsia="en-AU" w:bidi="ar-SA"/>
        </w:rPr>
      </w:pPr>
      <w:bookmarkStart w:id="29" w:name="_Toc516642373"/>
      <w:r w:rsidRPr="008E74D2">
        <w:rPr>
          <w:b/>
          <w:bCs/>
          <w:color w:val="000000" w:themeColor="text1"/>
          <w:lang w:eastAsia="en-AU" w:bidi="ar-SA"/>
        </w:rPr>
        <w:t>1.3.1</w:t>
      </w:r>
      <w:r w:rsidRPr="008E74D2">
        <w:rPr>
          <w:b/>
          <w:bCs/>
          <w:color w:val="000000" w:themeColor="text1"/>
          <w:lang w:eastAsia="en-AU" w:bidi="ar-SA"/>
        </w:rPr>
        <w:tab/>
        <w:t>International standards</w:t>
      </w:r>
      <w:bookmarkEnd w:id="29"/>
    </w:p>
    <w:p w14:paraId="0B1FAAEE" w14:textId="77777777" w:rsidR="008E74D2" w:rsidRPr="008E74D2" w:rsidRDefault="008E74D2" w:rsidP="008E74D2">
      <w:pPr>
        <w:rPr>
          <w:lang w:eastAsia="en-AU" w:bidi="ar-SA"/>
        </w:rPr>
      </w:pPr>
      <w:r w:rsidRPr="008E74D2">
        <w:rPr>
          <w:lang w:eastAsia="en-AU" w:bidi="ar-SA"/>
        </w:rPr>
        <w:t>The international and national permissions for the use of polysorbate 20 as a food additive that are relevant to this application are summarised below.</w:t>
      </w:r>
    </w:p>
    <w:p w14:paraId="58ED1F1C" w14:textId="77777777" w:rsidR="008E74D2" w:rsidRPr="008E74D2" w:rsidRDefault="008E74D2" w:rsidP="008E74D2">
      <w:pPr>
        <w:keepNext/>
        <w:spacing w:before="240" w:after="240"/>
        <w:ind w:left="851" w:hanging="851"/>
        <w:outlineLvl w:val="3"/>
        <w:rPr>
          <w:b/>
          <w:bCs/>
          <w:i/>
          <w:iCs/>
          <w:szCs w:val="22"/>
          <w:lang w:eastAsia="en-AU" w:bidi="ar-SA"/>
        </w:rPr>
      </w:pPr>
      <w:r w:rsidRPr="008E74D2">
        <w:rPr>
          <w:b/>
          <w:bCs/>
          <w:i/>
          <w:iCs/>
          <w:szCs w:val="22"/>
          <w:lang w:eastAsia="en-AU" w:bidi="ar-SA"/>
        </w:rPr>
        <w:t>1.3.1.1</w:t>
      </w:r>
      <w:r w:rsidRPr="008E74D2">
        <w:rPr>
          <w:b/>
          <w:bCs/>
          <w:i/>
          <w:iCs/>
          <w:szCs w:val="22"/>
          <w:lang w:eastAsia="en-AU" w:bidi="ar-SA"/>
        </w:rPr>
        <w:tab/>
        <w:t>Codex Alimentarius</w:t>
      </w:r>
    </w:p>
    <w:p w14:paraId="1BCF6D49" w14:textId="38FC990A" w:rsidR="008E74D2" w:rsidRPr="008E74D2" w:rsidRDefault="008E74D2" w:rsidP="008E74D2">
      <w:pPr>
        <w:rPr>
          <w:lang w:eastAsia="en-AU" w:bidi="ar-SA"/>
        </w:rPr>
      </w:pPr>
      <w:r w:rsidRPr="008E74D2">
        <w:rPr>
          <w:lang w:eastAsia="en-AU" w:bidi="ar-SA"/>
        </w:rPr>
        <w:t>The Codex General Standard for Food Additives (CODEX STAN 192-1995, GSFA) contains a large number of provisions for the use of polysorbate 20 (within the provisions for polysorbates) within Table 1. The list of food categories and the maximum levels is not detailed here but can be located within the GSFA</w:t>
      </w:r>
      <w:r w:rsidRPr="008E74D2">
        <w:rPr>
          <w:vertAlign w:val="superscript"/>
          <w:lang w:eastAsia="en-AU" w:bidi="ar-SA"/>
        </w:rPr>
        <w:footnoteReference w:id="3"/>
      </w:r>
      <w:r w:rsidRPr="008E74D2">
        <w:rPr>
          <w:lang w:eastAsia="en-AU" w:bidi="ar-SA"/>
        </w:rPr>
        <w:t>. Online searching of the GSFA is also available</w:t>
      </w:r>
      <w:r w:rsidRPr="008E74D2">
        <w:rPr>
          <w:vertAlign w:val="superscript"/>
          <w:lang w:eastAsia="en-AU" w:bidi="ar-SA"/>
        </w:rPr>
        <w:footnoteReference w:id="4"/>
      </w:r>
      <w:r w:rsidRPr="008E74D2">
        <w:rPr>
          <w:lang w:eastAsia="en-AU" w:bidi="ar-SA"/>
        </w:rPr>
        <w:t>.</w:t>
      </w:r>
    </w:p>
    <w:p w14:paraId="7FA04383" w14:textId="77777777" w:rsidR="008E74D2" w:rsidRPr="008E74D2" w:rsidRDefault="008E74D2" w:rsidP="008E74D2">
      <w:pPr>
        <w:keepNext/>
        <w:spacing w:before="240" w:after="240"/>
        <w:ind w:left="851" w:hanging="851"/>
        <w:outlineLvl w:val="3"/>
        <w:rPr>
          <w:b/>
          <w:bCs/>
          <w:i/>
          <w:iCs/>
          <w:szCs w:val="22"/>
          <w:lang w:eastAsia="en-AU" w:bidi="ar-SA"/>
        </w:rPr>
      </w:pPr>
      <w:r w:rsidRPr="008E74D2">
        <w:rPr>
          <w:b/>
          <w:bCs/>
          <w:i/>
          <w:iCs/>
          <w:szCs w:val="22"/>
          <w:lang w:eastAsia="en-AU" w:bidi="ar-SA"/>
        </w:rPr>
        <w:lastRenderedPageBreak/>
        <w:t>1.3.1.2</w:t>
      </w:r>
      <w:r w:rsidRPr="008E74D2">
        <w:rPr>
          <w:b/>
          <w:bCs/>
          <w:i/>
          <w:iCs/>
          <w:szCs w:val="22"/>
          <w:lang w:eastAsia="en-AU" w:bidi="ar-SA"/>
        </w:rPr>
        <w:tab/>
        <w:t>European Union</w:t>
      </w:r>
    </w:p>
    <w:p w14:paraId="424AE90F" w14:textId="77777777" w:rsidR="008E74D2" w:rsidRPr="008E74D2" w:rsidRDefault="008E74D2" w:rsidP="008E74D2">
      <w:pPr>
        <w:rPr>
          <w:lang w:eastAsia="en-AU" w:bidi="ar-SA"/>
        </w:rPr>
      </w:pPr>
      <w:r w:rsidRPr="008E74D2">
        <w:rPr>
          <w:lang w:eastAsia="en-AU" w:bidi="ar-SA"/>
        </w:rPr>
        <w:t>Similar to the GSFA, the European Union permits polysorbates (including polysorbate 20) in a wide variety of food categories. These permissions are contained in Annex II to Regulation (EC) No 1333/2008</w:t>
      </w:r>
      <w:r w:rsidRPr="008E74D2">
        <w:rPr>
          <w:vertAlign w:val="superscript"/>
          <w:lang w:eastAsia="en-AU" w:bidi="ar-SA"/>
        </w:rPr>
        <w:footnoteReference w:id="5"/>
      </w:r>
      <w:r w:rsidRPr="008E74D2">
        <w:rPr>
          <w:lang w:eastAsia="en-AU" w:bidi="ar-SA"/>
        </w:rPr>
        <w:t>. Food additive permissions can also be searched from an online website</w:t>
      </w:r>
      <w:r w:rsidRPr="008E74D2">
        <w:rPr>
          <w:vertAlign w:val="superscript"/>
          <w:lang w:eastAsia="en-AU" w:bidi="ar-SA"/>
        </w:rPr>
        <w:footnoteReference w:id="6"/>
      </w:r>
      <w:r w:rsidRPr="008E74D2">
        <w:rPr>
          <w:lang w:eastAsia="en-AU" w:bidi="ar-SA"/>
        </w:rPr>
        <w:t>. A summarised list of polysorbate permissions for food categories is also provided in Table 7 of the 2015 EFSA scientific opinion on the re-evaluation of polysorbates</w:t>
      </w:r>
      <w:r w:rsidRPr="008E74D2">
        <w:rPr>
          <w:vertAlign w:val="superscript"/>
          <w:lang w:eastAsia="en-AU" w:bidi="ar-SA"/>
        </w:rPr>
        <w:footnoteReference w:id="7"/>
      </w:r>
      <w:r w:rsidRPr="008E74D2">
        <w:rPr>
          <w:lang w:eastAsia="en-AU" w:bidi="ar-SA"/>
        </w:rPr>
        <w:t>.</w:t>
      </w:r>
    </w:p>
    <w:p w14:paraId="4EDBB0A7" w14:textId="77777777" w:rsidR="008E74D2" w:rsidRPr="008E74D2" w:rsidRDefault="008E74D2" w:rsidP="008E74D2">
      <w:pPr>
        <w:keepNext/>
        <w:spacing w:before="240" w:after="240"/>
        <w:ind w:left="851" w:hanging="851"/>
        <w:outlineLvl w:val="3"/>
        <w:rPr>
          <w:b/>
          <w:bCs/>
          <w:i/>
          <w:iCs/>
          <w:szCs w:val="22"/>
          <w:lang w:eastAsia="en-AU" w:bidi="ar-SA"/>
        </w:rPr>
      </w:pPr>
      <w:r w:rsidRPr="008E74D2">
        <w:rPr>
          <w:b/>
          <w:bCs/>
          <w:i/>
          <w:iCs/>
          <w:szCs w:val="22"/>
          <w:lang w:eastAsia="en-AU" w:bidi="ar-SA"/>
        </w:rPr>
        <w:t>1.3.1.3</w:t>
      </w:r>
      <w:r w:rsidRPr="008E74D2">
        <w:rPr>
          <w:b/>
          <w:bCs/>
          <w:i/>
          <w:iCs/>
          <w:szCs w:val="22"/>
          <w:lang w:eastAsia="en-AU" w:bidi="ar-SA"/>
        </w:rPr>
        <w:tab/>
        <w:t>United States of America</w:t>
      </w:r>
    </w:p>
    <w:p w14:paraId="5D14C617" w14:textId="77777777" w:rsidR="008E74D2" w:rsidRPr="008E74D2" w:rsidRDefault="008E74D2" w:rsidP="008E74D2">
      <w:pPr>
        <w:rPr>
          <w:lang w:eastAsia="en-AU" w:bidi="ar-SA"/>
        </w:rPr>
      </w:pPr>
      <w:r w:rsidRPr="008E74D2">
        <w:rPr>
          <w:lang w:eastAsia="en-AU" w:bidi="ar-SA"/>
        </w:rPr>
        <w:t>Polysorbate permissions for use as indirect food additives (adjuvants, production aids, and sanitizers) with the technological purpose as emulsifiers and/or surface-active agents in the United States is provided within the US Code of Federal Regulations (CFR)</w:t>
      </w:r>
      <w:r w:rsidRPr="008E74D2">
        <w:rPr>
          <w:vertAlign w:val="superscript"/>
          <w:lang w:eastAsia="en-AU" w:bidi="ar-SA"/>
        </w:rPr>
        <w:t xml:space="preserve"> </w:t>
      </w:r>
      <w:r w:rsidRPr="008E74D2">
        <w:rPr>
          <w:vertAlign w:val="superscript"/>
          <w:lang w:eastAsia="en-AU" w:bidi="ar-SA"/>
        </w:rPr>
        <w:footnoteReference w:id="8"/>
      </w:r>
      <w:r w:rsidRPr="008E74D2">
        <w:rPr>
          <w:lang w:eastAsia="en-AU" w:bidi="ar-SA"/>
        </w:rPr>
        <w:t xml:space="preserve"> section 178.3400</w:t>
      </w:r>
      <w:r w:rsidRPr="008E74D2">
        <w:rPr>
          <w:vertAlign w:val="superscript"/>
          <w:lang w:eastAsia="en-AU" w:bidi="ar-SA"/>
        </w:rPr>
        <w:footnoteReference w:id="9"/>
      </w:r>
      <w:r w:rsidRPr="008E74D2">
        <w:rPr>
          <w:lang w:eastAsia="en-AU" w:bidi="ar-SA"/>
        </w:rPr>
        <w:t>. Polysorbates 60, 65 and 80 are also permitted in the CFR as food additives for direct addition to food for human consumption, but polysorbate 20 is not.</w:t>
      </w:r>
    </w:p>
    <w:p w14:paraId="01004EE1" w14:textId="77777777" w:rsidR="008E74D2" w:rsidRPr="008E74D2" w:rsidRDefault="008E74D2" w:rsidP="008E74D2">
      <w:pPr>
        <w:rPr>
          <w:lang w:eastAsia="en-AU" w:bidi="ar-SA"/>
        </w:rPr>
      </w:pPr>
    </w:p>
    <w:p w14:paraId="03DEBE25" w14:textId="53063744" w:rsidR="008E74D2" w:rsidRPr="008E74D2" w:rsidRDefault="008E74D2" w:rsidP="008E74D2">
      <w:pPr>
        <w:rPr>
          <w:lang w:eastAsia="en-AU" w:bidi="ar-SA"/>
        </w:rPr>
      </w:pPr>
      <w:r w:rsidRPr="008E74D2">
        <w:rPr>
          <w:lang w:eastAsia="en-AU" w:bidi="ar-SA"/>
        </w:rPr>
        <w:t>Polysorbate 20 is also permitted as a flavouring adjuvant</w:t>
      </w:r>
      <w:r w:rsidRPr="008E74D2">
        <w:rPr>
          <w:vertAlign w:val="superscript"/>
          <w:lang w:eastAsia="en-AU" w:bidi="ar-SA"/>
        </w:rPr>
        <w:footnoteReference w:id="10"/>
      </w:r>
      <w:r w:rsidRPr="008E74D2">
        <w:rPr>
          <w:lang w:eastAsia="en-AU" w:bidi="ar-SA"/>
        </w:rPr>
        <w:t xml:space="preserve"> due to section 172.515 (Synthetic flavoring substances and adjuvants) of the CFR</w:t>
      </w:r>
      <w:r w:rsidRPr="008E74D2">
        <w:rPr>
          <w:vertAlign w:val="superscript"/>
          <w:lang w:eastAsia="en-AU" w:bidi="ar-SA"/>
        </w:rPr>
        <w:footnoteReference w:id="11"/>
      </w:r>
      <w:r w:rsidRPr="008E74D2">
        <w:rPr>
          <w:lang w:eastAsia="en-AU" w:bidi="ar-SA"/>
        </w:rPr>
        <w:t>. Polysorbate 60 and 80 are also permitted flavouring adjuvants.</w:t>
      </w:r>
    </w:p>
    <w:p w14:paraId="133151F5" w14:textId="77777777" w:rsidR="008E74D2" w:rsidRPr="008E74D2" w:rsidRDefault="008E74D2" w:rsidP="008E74D2">
      <w:pPr>
        <w:keepNext/>
        <w:spacing w:before="240" w:after="240"/>
        <w:ind w:left="851" w:hanging="851"/>
        <w:outlineLvl w:val="3"/>
        <w:rPr>
          <w:b/>
          <w:bCs/>
          <w:i/>
          <w:iCs/>
          <w:szCs w:val="22"/>
          <w:lang w:eastAsia="en-AU" w:bidi="ar-SA"/>
        </w:rPr>
      </w:pPr>
      <w:r w:rsidRPr="008E74D2">
        <w:rPr>
          <w:b/>
          <w:bCs/>
          <w:i/>
          <w:iCs/>
          <w:szCs w:val="22"/>
          <w:lang w:eastAsia="en-AU" w:bidi="ar-SA"/>
        </w:rPr>
        <w:t>1.3.1.4</w:t>
      </w:r>
      <w:r w:rsidRPr="008E74D2">
        <w:rPr>
          <w:b/>
          <w:bCs/>
          <w:i/>
          <w:iCs/>
          <w:szCs w:val="22"/>
          <w:lang w:eastAsia="en-AU" w:bidi="ar-SA"/>
        </w:rPr>
        <w:tab/>
        <w:t>Other country permissions</w:t>
      </w:r>
    </w:p>
    <w:p w14:paraId="6621F209" w14:textId="77777777" w:rsidR="008E74D2" w:rsidRPr="008E74D2" w:rsidRDefault="008E74D2" w:rsidP="008E74D2">
      <w:pPr>
        <w:rPr>
          <w:lang w:eastAsia="en-AU" w:bidi="ar-SA"/>
        </w:rPr>
      </w:pPr>
      <w:r w:rsidRPr="008E74D2">
        <w:rPr>
          <w:lang w:eastAsia="en-AU" w:bidi="ar-SA"/>
        </w:rPr>
        <w:t>Polysorbate 20 is permitted as a food additive in Japan</w:t>
      </w:r>
      <w:r w:rsidRPr="008E74D2">
        <w:rPr>
          <w:vertAlign w:val="superscript"/>
          <w:lang w:eastAsia="en-AU" w:bidi="ar-SA"/>
        </w:rPr>
        <w:footnoteReference w:id="12"/>
      </w:r>
      <w:r w:rsidRPr="008E74D2">
        <w:rPr>
          <w:lang w:eastAsia="en-AU" w:bidi="ar-SA"/>
        </w:rPr>
        <w:t xml:space="preserve"> and Singapore</w:t>
      </w:r>
      <w:r w:rsidRPr="008E74D2">
        <w:rPr>
          <w:vertAlign w:val="superscript"/>
          <w:lang w:eastAsia="en-AU" w:bidi="ar-SA"/>
        </w:rPr>
        <w:footnoteReference w:id="13"/>
      </w:r>
      <w:r w:rsidRPr="008E74D2">
        <w:rPr>
          <w:color w:val="FF0000"/>
          <w:lang w:eastAsia="en-AU" w:bidi="ar-SA"/>
        </w:rPr>
        <w:t>.</w:t>
      </w:r>
    </w:p>
    <w:p w14:paraId="75E79CA8" w14:textId="71D2EF21" w:rsidR="007A53BF" w:rsidRPr="007A53BF" w:rsidRDefault="007A53BF" w:rsidP="00CE59AA">
      <w:pPr>
        <w:pStyle w:val="Heading2"/>
        <w:rPr>
          <w:u w:color="FFFF00"/>
        </w:rPr>
      </w:pPr>
      <w:bookmarkStart w:id="30" w:name="_Toc521320613"/>
      <w:r w:rsidRPr="007A53BF">
        <w:rPr>
          <w:u w:color="FFFF00"/>
        </w:rPr>
        <w:t>1.4</w:t>
      </w:r>
      <w:r w:rsidRPr="007A53BF">
        <w:rPr>
          <w:u w:color="FFFF00"/>
        </w:rPr>
        <w:tab/>
        <w:t xml:space="preserve">Reasons </w:t>
      </w:r>
      <w:r w:rsidRPr="008E74D2">
        <w:rPr>
          <w:u w:color="FFFF00"/>
        </w:rPr>
        <w:t>for accepting Application</w:t>
      </w:r>
      <w:bookmarkEnd w:id="25"/>
      <w:bookmarkEnd w:id="30"/>
      <w:r w:rsidRPr="008E74D2">
        <w:rPr>
          <w:u w:color="FFFF00"/>
        </w:rPr>
        <w:t xml:space="preserve"> </w:t>
      </w:r>
      <w:bookmarkEnd w:id="26"/>
      <w:bookmarkEnd w:id="27"/>
    </w:p>
    <w:bookmarkEnd w:id="28"/>
    <w:p w14:paraId="5171D4E3" w14:textId="03C62FF3" w:rsidR="007A53BF" w:rsidRPr="00050ACC" w:rsidRDefault="007A53BF" w:rsidP="007A53BF">
      <w:r w:rsidRPr="00050ACC">
        <w:t xml:space="preserve">The </w:t>
      </w:r>
      <w:r w:rsidR="00050ACC">
        <w:t>a</w:t>
      </w:r>
      <w:r w:rsidRPr="00050ACC">
        <w:t>pplication was accepted for assessment because:</w:t>
      </w:r>
    </w:p>
    <w:p w14:paraId="1700EC0C" w14:textId="77777777" w:rsidR="007A53BF" w:rsidRPr="00050ACC" w:rsidRDefault="007A53BF" w:rsidP="007A53BF"/>
    <w:p w14:paraId="5A14E910" w14:textId="77777777" w:rsidR="008E74D2" w:rsidRPr="008E74D2" w:rsidRDefault="008E74D2" w:rsidP="008E74D2">
      <w:pPr>
        <w:pStyle w:val="FSBullet1"/>
      </w:pPr>
      <w:r w:rsidRPr="008E74D2">
        <w:lastRenderedPageBreak/>
        <w:t>it complied with the procedural requirements under subsection 22(2) of the FSANZ Act</w:t>
      </w:r>
    </w:p>
    <w:p w14:paraId="6F3DEADE" w14:textId="56CC2FE1" w:rsidR="008E74D2" w:rsidRPr="008E74D2" w:rsidRDefault="008E74D2" w:rsidP="008E74D2">
      <w:pPr>
        <w:pStyle w:val="FSBullet1"/>
      </w:pPr>
      <w:r w:rsidRPr="008E74D2">
        <w:t>it related to a matter that warranted the variation of a food regulatory measure.</w:t>
      </w:r>
    </w:p>
    <w:p w14:paraId="45CE9FCF" w14:textId="77777777" w:rsidR="007A53BF" w:rsidRPr="007A53BF" w:rsidRDefault="007A53BF" w:rsidP="00CE59AA">
      <w:pPr>
        <w:pStyle w:val="Heading2"/>
      </w:pPr>
      <w:bookmarkStart w:id="31" w:name="_Toc370223469"/>
      <w:bookmarkStart w:id="32" w:name="_Toc521320614"/>
      <w:r w:rsidRPr="007A53BF">
        <w:t>1.5</w:t>
      </w:r>
      <w:r w:rsidRPr="007A53BF">
        <w:tab/>
        <w:t>Procedure for assessment</w:t>
      </w:r>
      <w:bookmarkEnd w:id="31"/>
      <w:bookmarkEnd w:id="32"/>
    </w:p>
    <w:p w14:paraId="22D59933" w14:textId="02A0D5C5" w:rsidR="00AF397D" w:rsidRPr="008E74D2" w:rsidRDefault="00AF397D" w:rsidP="00AF397D">
      <w:r w:rsidRPr="008E74D2">
        <w:t xml:space="preserve">The </w:t>
      </w:r>
      <w:r w:rsidR="008E74D2" w:rsidRPr="008E74D2">
        <w:t>a</w:t>
      </w:r>
      <w:r w:rsidRPr="008E74D2">
        <w:t xml:space="preserve">pplication was assessed under the </w:t>
      </w:r>
      <w:r w:rsidR="008E74D2" w:rsidRPr="008E74D2">
        <w:t>General</w:t>
      </w:r>
      <w:r w:rsidRPr="008E74D2">
        <w:t xml:space="preserve"> Procedure.</w:t>
      </w:r>
    </w:p>
    <w:p w14:paraId="7762FA90" w14:textId="77777777" w:rsidR="00422EC9" w:rsidRDefault="007A53BF" w:rsidP="00422EC9">
      <w:pPr>
        <w:pStyle w:val="Heading2"/>
      </w:pPr>
      <w:bookmarkStart w:id="33" w:name="_Toc521320615"/>
      <w:r>
        <w:t>1</w:t>
      </w:r>
      <w:r w:rsidR="00422EC9">
        <w:t>.6</w:t>
      </w:r>
      <w:r w:rsidR="00422EC9">
        <w:tab/>
      </w:r>
      <w:r w:rsidR="00422EC9" w:rsidRPr="00932F14">
        <w:t>Decision</w:t>
      </w:r>
      <w:bookmarkEnd w:id="33"/>
    </w:p>
    <w:p w14:paraId="2B3359A1" w14:textId="2C2C698B" w:rsidR="00401ADE" w:rsidRDefault="00422EC9" w:rsidP="002C1A3B">
      <w:r>
        <w:t xml:space="preserve">The </w:t>
      </w:r>
      <w:r w:rsidRPr="00050ACC">
        <w:t xml:space="preserve">draft </w:t>
      </w:r>
      <w:r w:rsidR="00E30092" w:rsidRPr="00050ACC">
        <w:t xml:space="preserve">variation </w:t>
      </w:r>
      <w:r>
        <w:t xml:space="preserve">as proposed following assessment was approved </w:t>
      </w:r>
      <w:r w:rsidRPr="009E46F5">
        <w:rPr>
          <w:color w:val="FF0000"/>
        </w:rPr>
        <w:t xml:space="preserve">without </w:t>
      </w:r>
      <w:r w:rsidRPr="00E327A6">
        <w:rPr>
          <w:color w:val="FF0000"/>
        </w:rPr>
        <w:t>change</w:t>
      </w:r>
      <w:r>
        <w:t>.</w:t>
      </w:r>
      <w:r w:rsidR="002C1A3B">
        <w:t xml:space="preserve"> </w:t>
      </w:r>
      <w:r w:rsidR="002C1A3B" w:rsidRPr="003A7725">
        <w:t xml:space="preserve">The </w:t>
      </w:r>
      <w:r w:rsidR="002C1A3B" w:rsidRPr="00050ACC">
        <w:t>variation</w:t>
      </w:r>
      <w:r w:rsidR="002C1A3B">
        <w:t xml:space="preserve"> </w:t>
      </w:r>
      <w:r w:rsidR="002C1A3B" w:rsidRPr="00D26814">
        <w:t>takes effect on</w:t>
      </w:r>
      <w:r w:rsidR="002C1A3B">
        <w:t xml:space="preserve"> </w:t>
      </w:r>
      <w:r w:rsidR="002B33FC">
        <w:t xml:space="preserve">gazettal. </w:t>
      </w:r>
      <w:r>
        <w:t xml:space="preserve">The </w:t>
      </w:r>
      <w:r w:rsidR="002C1A3B">
        <w:t xml:space="preserve">approved </w:t>
      </w:r>
      <w:r>
        <w:t xml:space="preserve">draft </w:t>
      </w:r>
      <w:r w:rsidR="00E30092" w:rsidRPr="00050ACC">
        <w:t>variation</w:t>
      </w:r>
      <w:r w:rsidR="00EA48C5">
        <w:t xml:space="preserve"> </w:t>
      </w:r>
      <w:r w:rsidR="005E06C0">
        <w:t xml:space="preserve">is </w:t>
      </w:r>
      <w:r>
        <w:t xml:space="preserve">at </w:t>
      </w:r>
      <w:r w:rsidRPr="007C22CB">
        <w:t xml:space="preserve">Attachment A. </w:t>
      </w:r>
    </w:p>
    <w:p w14:paraId="6C023DF1" w14:textId="77777777" w:rsidR="00401ADE" w:rsidRDefault="00401ADE" w:rsidP="00401ADE"/>
    <w:p w14:paraId="2D0F3931"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3C11E358" w14:textId="77777777" w:rsidR="002C1A3B" w:rsidRPr="00D26814" w:rsidRDefault="002C1A3B" w:rsidP="002C1A3B">
      <w:pPr>
        <w:rPr>
          <w:u w:val="single"/>
        </w:rPr>
      </w:pPr>
    </w:p>
    <w:p w14:paraId="0B6B8474" w14:textId="77777777" w:rsidR="0012388D" w:rsidRDefault="007A53BF" w:rsidP="00755F02">
      <w:pPr>
        <w:pStyle w:val="Heading1"/>
      </w:pPr>
      <w:bookmarkStart w:id="34" w:name="_Toc521320616"/>
      <w:bookmarkStart w:id="35" w:name="_Toc11735630"/>
      <w:bookmarkStart w:id="36" w:name="_Toc29883114"/>
      <w:bookmarkStart w:id="37" w:name="_Toc41906801"/>
      <w:bookmarkStart w:id="38" w:name="_Toc41907548"/>
      <w:bookmarkStart w:id="39" w:name="_Toc120358578"/>
      <w:bookmarkStart w:id="40"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4"/>
    </w:p>
    <w:p w14:paraId="36C513E2" w14:textId="600038A5" w:rsidR="007A53BF" w:rsidRDefault="007A53BF" w:rsidP="007A53BF">
      <w:pPr>
        <w:pStyle w:val="Heading2"/>
      </w:pPr>
      <w:bookmarkStart w:id="41" w:name="_Toc300933438"/>
      <w:bookmarkStart w:id="42" w:name="_Toc370223471"/>
      <w:bookmarkStart w:id="43" w:name="_Toc370225386"/>
      <w:bookmarkStart w:id="44" w:name="_Toc521320617"/>
      <w:bookmarkStart w:id="45" w:name="_Toc286391009"/>
      <w:bookmarkStart w:id="46" w:name="_Toc300933425"/>
      <w:bookmarkStart w:id="47" w:name="_Toc309291838"/>
      <w:bookmarkStart w:id="48" w:name="_Toc309385455"/>
      <w:bookmarkStart w:id="49" w:name="_Toc120358583"/>
      <w:bookmarkStart w:id="50" w:name="_Toc175381440"/>
      <w:r w:rsidRPr="002C1A3B">
        <w:t>2.1</w:t>
      </w:r>
      <w:r w:rsidRPr="002C1A3B">
        <w:tab/>
        <w:t xml:space="preserve">Summary of issues raised </w:t>
      </w:r>
      <w:bookmarkEnd w:id="41"/>
      <w:r w:rsidRPr="002C1A3B">
        <w:t>in submissions</w:t>
      </w:r>
      <w:bookmarkEnd w:id="42"/>
      <w:bookmarkEnd w:id="43"/>
      <w:bookmarkEnd w:id="44"/>
    </w:p>
    <w:p w14:paraId="1C6950D0" w14:textId="31E5A217" w:rsidR="004B180D" w:rsidRPr="004B180D" w:rsidRDefault="004B180D" w:rsidP="002B33FC">
      <w:pPr>
        <w:rPr>
          <w:lang w:bidi="ar-SA"/>
        </w:rPr>
      </w:pPr>
      <w:r w:rsidRPr="004B180D">
        <w:rPr>
          <w:lang w:bidi="ar-SA"/>
        </w:rPr>
        <w:t>FSANZ sought public comments on the draft variation included in the Call for Submissions between 26 June 2018 and 24 July 2018.</w:t>
      </w:r>
    </w:p>
    <w:p w14:paraId="3096D909" w14:textId="3CA1DD89" w:rsidR="004B180D" w:rsidRPr="005F63F0" w:rsidRDefault="004B180D" w:rsidP="002B33FC">
      <w:pPr>
        <w:rPr>
          <w:lang w:bidi="ar-SA"/>
        </w:rPr>
      </w:pPr>
    </w:p>
    <w:p w14:paraId="28BCA5F7" w14:textId="64652926" w:rsidR="00BA31F2" w:rsidRPr="005F63F0" w:rsidRDefault="00EA48C5" w:rsidP="002B33FC">
      <w:pPr>
        <w:rPr>
          <w:lang w:bidi="ar-SA"/>
        </w:rPr>
      </w:pPr>
      <w:r w:rsidRPr="005F63F0">
        <w:rPr>
          <w:lang w:bidi="ar-SA"/>
        </w:rPr>
        <w:t>Four</w:t>
      </w:r>
      <w:r w:rsidR="00BA31F2" w:rsidRPr="005F63F0">
        <w:rPr>
          <w:lang w:bidi="ar-SA"/>
        </w:rPr>
        <w:t xml:space="preserve"> submissions were received:</w:t>
      </w:r>
    </w:p>
    <w:p w14:paraId="369FFFA8" w14:textId="44BA7CA1" w:rsidR="00BA31F2" w:rsidRPr="005F63F0" w:rsidRDefault="00BA31F2" w:rsidP="002B33FC">
      <w:pPr>
        <w:rPr>
          <w:lang w:bidi="ar-SA"/>
        </w:rPr>
      </w:pPr>
    </w:p>
    <w:p w14:paraId="414C013C" w14:textId="7ED65803" w:rsidR="00BA31F2" w:rsidRPr="005F63F0" w:rsidRDefault="00EA48C5" w:rsidP="00BA31F2">
      <w:pPr>
        <w:pStyle w:val="FSBullet1"/>
      </w:pPr>
      <w:r w:rsidRPr="005F63F0">
        <w:t>2</w:t>
      </w:r>
      <w:r w:rsidR="00BA31F2" w:rsidRPr="005F63F0">
        <w:t xml:space="preserve"> from government agencies</w:t>
      </w:r>
      <w:r w:rsidR="00DF5004" w:rsidRPr="005F63F0">
        <w:t xml:space="preserve"> (</w:t>
      </w:r>
      <w:r w:rsidR="007C09EA" w:rsidRPr="005F63F0">
        <w:t xml:space="preserve">1 </w:t>
      </w:r>
      <w:r w:rsidR="00DF5004" w:rsidRPr="005F63F0">
        <w:t>supportive</w:t>
      </w:r>
      <w:r w:rsidR="007C09EA" w:rsidRPr="005F63F0">
        <w:t xml:space="preserve"> and one did not explicitly state a position</w:t>
      </w:r>
      <w:r w:rsidR="00DF5004" w:rsidRPr="005F63F0">
        <w:t>)</w:t>
      </w:r>
    </w:p>
    <w:p w14:paraId="77B820B4" w14:textId="0CF41CAD" w:rsidR="00BA31F2" w:rsidRPr="005F63F0" w:rsidRDefault="00EA48C5" w:rsidP="00BA31F2">
      <w:pPr>
        <w:pStyle w:val="FSBullet1"/>
      </w:pPr>
      <w:r w:rsidRPr="005F63F0">
        <w:t>1</w:t>
      </w:r>
      <w:r w:rsidR="00BA31F2" w:rsidRPr="005F63F0">
        <w:t xml:space="preserve"> from </w:t>
      </w:r>
      <w:r w:rsidRPr="005F63F0">
        <w:t xml:space="preserve">an </w:t>
      </w:r>
      <w:r w:rsidR="00BA31F2" w:rsidRPr="005F63F0">
        <w:t>industry association</w:t>
      </w:r>
      <w:r w:rsidR="00DF5004" w:rsidRPr="005F63F0">
        <w:t xml:space="preserve"> (supportive)</w:t>
      </w:r>
    </w:p>
    <w:p w14:paraId="51A738A6" w14:textId="5AC4593E" w:rsidR="00BA31F2" w:rsidRPr="005F63F0" w:rsidRDefault="00864965" w:rsidP="00BA31F2">
      <w:pPr>
        <w:pStyle w:val="FSBullet1"/>
      </w:pPr>
      <w:r w:rsidRPr="005F63F0">
        <w:t>1</w:t>
      </w:r>
      <w:r w:rsidR="00BA31F2" w:rsidRPr="005F63F0">
        <w:t xml:space="preserve"> from </w:t>
      </w:r>
      <w:r w:rsidR="00EA48C5" w:rsidRPr="005F63F0">
        <w:t xml:space="preserve">a </w:t>
      </w:r>
      <w:r w:rsidR="00BA31F2" w:rsidRPr="005F63F0">
        <w:t>consumer</w:t>
      </w:r>
      <w:r w:rsidR="00EA48C5" w:rsidRPr="005F63F0">
        <w:t xml:space="preserve"> organisation</w:t>
      </w:r>
      <w:r w:rsidR="00DF5004" w:rsidRPr="005F63F0">
        <w:t xml:space="preserve"> (did not explicitly support or oppose</w:t>
      </w:r>
      <w:r w:rsidR="0044619E" w:rsidRPr="005F63F0">
        <w:t xml:space="preserve"> though expressed concern about the safety of polysorbates and other emulsifiers</w:t>
      </w:r>
      <w:r w:rsidR="00DF5004" w:rsidRPr="005F63F0">
        <w:t>)</w:t>
      </w:r>
      <w:r w:rsidR="00BA31F2" w:rsidRPr="005F63F0">
        <w:t>.</w:t>
      </w:r>
    </w:p>
    <w:p w14:paraId="432C78B8" w14:textId="468592D8" w:rsidR="00BA31F2" w:rsidRPr="005F63F0" w:rsidRDefault="00BA31F2" w:rsidP="00BA31F2">
      <w:pPr>
        <w:rPr>
          <w:lang w:bidi="ar-SA"/>
        </w:rPr>
      </w:pPr>
    </w:p>
    <w:p w14:paraId="0D5F4C80" w14:textId="12555169" w:rsidR="00BA31F2" w:rsidRPr="005F63F0" w:rsidRDefault="00BA31F2" w:rsidP="00BA31F2">
      <w:pPr>
        <w:rPr>
          <w:lang w:bidi="ar-SA"/>
        </w:rPr>
      </w:pPr>
      <w:r w:rsidRPr="005F63F0">
        <w:rPr>
          <w:lang w:bidi="ar-SA"/>
        </w:rPr>
        <w:t>The issues raised in submissions and FSANZ’s responses are detailed in Table 1.</w:t>
      </w:r>
    </w:p>
    <w:p w14:paraId="68C9E14C" w14:textId="3F288363" w:rsidR="00BA31F2" w:rsidRPr="005F63F0" w:rsidRDefault="00BA31F2" w:rsidP="00BA31F2">
      <w:pPr>
        <w:rPr>
          <w:lang w:bidi="ar-SA"/>
        </w:rPr>
      </w:pPr>
    </w:p>
    <w:p w14:paraId="104547EE" w14:textId="6764693E" w:rsidR="00BA31F2" w:rsidRPr="005F63F0" w:rsidRDefault="00BA31F2" w:rsidP="00BA31F2">
      <w:pPr>
        <w:rPr>
          <w:lang w:bidi="ar-SA"/>
        </w:rPr>
      </w:pPr>
      <w:r w:rsidRPr="005F63F0">
        <w:rPr>
          <w:lang w:bidi="ar-SA"/>
        </w:rPr>
        <w:t>In summary the issues raised and FSANZ’s responses were:</w:t>
      </w:r>
    </w:p>
    <w:p w14:paraId="12266F94" w14:textId="77777777" w:rsidR="00BA31F2" w:rsidRPr="005F63F0" w:rsidRDefault="00BA31F2" w:rsidP="00BA31F2">
      <w:pPr>
        <w:rPr>
          <w:lang w:bidi="ar-SA"/>
        </w:rPr>
      </w:pPr>
    </w:p>
    <w:p w14:paraId="0C1FD95F" w14:textId="683AB60B" w:rsidR="00BA31F2" w:rsidRPr="005F63F0" w:rsidRDefault="00DF5004" w:rsidP="007C09EA">
      <w:pPr>
        <w:pStyle w:val="FSBullet1"/>
      </w:pPr>
      <w:r w:rsidRPr="005F63F0">
        <w:t xml:space="preserve">A consumer organisation provided two references to support its </w:t>
      </w:r>
      <w:r w:rsidR="0099367F" w:rsidRPr="005F63F0">
        <w:t xml:space="preserve">view </w:t>
      </w:r>
      <w:r w:rsidRPr="005F63F0">
        <w:t>that polysorbates (and other emulsifiers) are not as benign as many believe. FSANZ assessed these references and concluded that they did not change the overall conclusion that polysorbate 20 (and the other three currently permitted polysorbates) is safe and suitable for the proposed purpose.</w:t>
      </w:r>
    </w:p>
    <w:p w14:paraId="7451EF2E" w14:textId="6648CB90" w:rsidR="00864965" w:rsidRPr="005F63F0" w:rsidRDefault="00864965" w:rsidP="007C09EA">
      <w:pPr>
        <w:pStyle w:val="FSBullet1"/>
        <w:numPr>
          <w:ilvl w:val="0"/>
          <w:numId w:val="0"/>
        </w:numPr>
        <w:ind w:left="567"/>
      </w:pPr>
    </w:p>
    <w:p w14:paraId="11B62EBA" w14:textId="439DE541" w:rsidR="00DF5004" w:rsidRPr="005F63F0" w:rsidRDefault="007C09EA" w:rsidP="007C09EA">
      <w:pPr>
        <w:pStyle w:val="FSBullet1"/>
      </w:pPr>
      <w:r w:rsidRPr="005F63F0">
        <w:t xml:space="preserve">Two issues raised in submissions were noted but these are outside the scope of the application and </w:t>
      </w:r>
      <w:r w:rsidR="0099367F" w:rsidRPr="005F63F0">
        <w:t>were</w:t>
      </w:r>
      <w:r w:rsidR="0044619E" w:rsidRPr="005F63F0">
        <w:t xml:space="preserve"> not </w:t>
      </w:r>
      <w:r w:rsidRPr="005F63F0">
        <w:t>considered as part of the assessment.</w:t>
      </w:r>
    </w:p>
    <w:p w14:paraId="22F5D5E6" w14:textId="77777777" w:rsidR="002B33FC" w:rsidRDefault="002B33FC" w:rsidP="002B33FC">
      <w:pPr>
        <w:rPr>
          <w:lang w:bidi="ar-SA"/>
        </w:rPr>
      </w:pPr>
    </w:p>
    <w:p w14:paraId="22E71A0D" w14:textId="77777777" w:rsidR="002B33FC" w:rsidRDefault="002B33FC" w:rsidP="007A53BF">
      <w:pPr>
        <w:pStyle w:val="FSTableTitle"/>
        <w:sectPr w:rsidR="002B33FC" w:rsidSect="00EB576F">
          <w:pgSz w:w="11906" w:h="16838" w:code="9"/>
          <w:pgMar w:top="1418" w:right="1418" w:bottom="1418" w:left="1418" w:header="709" w:footer="709" w:gutter="0"/>
          <w:pgNumType w:start="1"/>
          <w:cols w:space="708"/>
          <w:docGrid w:linePitch="360"/>
        </w:sectPr>
      </w:pPr>
    </w:p>
    <w:p w14:paraId="4198925A" w14:textId="0673C8B2" w:rsidR="007A53BF" w:rsidRDefault="007A53BF" w:rsidP="007A53BF">
      <w:pPr>
        <w:pStyle w:val="FSTableTitle"/>
      </w:pPr>
      <w:r>
        <w:lastRenderedPageBreak/>
        <w:t xml:space="preserve">Table 1: Summary of issues </w:t>
      </w:r>
    </w:p>
    <w:p w14:paraId="15336AF4" w14:textId="77777777" w:rsidR="007A53BF" w:rsidRPr="00B853D2" w:rsidRDefault="007A53BF" w:rsidP="007A53BF"/>
    <w:tbl>
      <w:tblPr>
        <w:tblStyle w:val="MediumShading1-Accent3"/>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tails of how FSANZ addressed issues raised in submissions"/>
      </w:tblPr>
      <w:tblGrid>
        <w:gridCol w:w="5949"/>
        <w:gridCol w:w="2835"/>
        <w:gridCol w:w="5386"/>
      </w:tblGrid>
      <w:tr w:rsidR="00050ACC" w:rsidRPr="00050ACC" w14:paraId="62122DE9" w14:textId="77777777" w:rsidTr="00050A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949" w:type="dxa"/>
            <w:tcBorders>
              <w:top w:val="none" w:sz="0" w:space="0" w:color="auto"/>
              <w:left w:val="none" w:sz="0" w:space="0" w:color="auto"/>
              <w:bottom w:val="none" w:sz="0" w:space="0" w:color="auto"/>
              <w:right w:val="none" w:sz="0" w:space="0" w:color="auto"/>
            </w:tcBorders>
          </w:tcPr>
          <w:p w14:paraId="709AC776" w14:textId="77777777" w:rsidR="007A53BF" w:rsidRPr="00050ACC" w:rsidRDefault="007A53BF" w:rsidP="008C4E76">
            <w:pPr>
              <w:pStyle w:val="FSTableHeading"/>
              <w:rPr>
                <w:b/>
                <w:color w:val="auto"/>
              </w:rPr>
            </w:pPr>
            <w:r w:rsidRPr="00050ACC">
              <w:rPr>
                <w:b/>
                <w:color w:val="auto"/>
              </w:rPr>
              <w:t>Issue</w:t>
            </w:r>
          </w:p>
        </w:tc>
        <w:tc>
          <w:tcPr>
            <w:tcW w:w="2835" w:type="dxa"/>
            <w:tcBorders>
              <w:top w:val="none" w:sz="0" w:space="0" w:color="auto"/>
              <w:left w:val="none" w:sz="0" w:space="0" w:color="auto"/>
              <w:bottom w:val="none" w:sz="0" w:space="0" w:color="auto"/>
              <w:right w:val="none" w:sz="0" w:space="0" w:color="auto"/>
            </w:tcBorders>
          </w:tcPr>
          <w:p w14:paraId="7CE2FC3D" w14:textId="77777777" w:rsidR="007A53BF" w:rsidRPr="00050ACC"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color w:val="auto"/>
              </w:rPr>
            </w:pPr>
            <w:r w:rsidRPr="00050ACC">
              <w:rPr>
                <w:b/>
                <w:color w:val="auto"/>
              </w:rPr>
              <w:t>Raised by</w:t>
            </w:r>
          </w:p>
        </w:tc>
        <w:tc>
          <w:tcPr>
            <w:tcW w:w="5386" w:type="dxa"/>
            <w:tcBorders>
              <w:top w:val="none" w:sz="0" w:space="0" w:color="auto"/>
              <w:left w:val="none" w:sz="0" w:space="0" w:color="auto"/>
              <w:bottom w:val="none" w:sz="0" w:space="0" w:color="auto"/>
              <w:right w:val="none" w:sz="0" w:space="0" w:color="auto"/>
            </w:tcBorders>
          </w:tcPr>
          <w:p w14:paraId="2AF3B276" w14:textId="77777777" w:rsidR="001D43F6" w:rsidRPr="00050ACC" w:rsidRDefault="007A53BF" w:rsidP="00050ACC">
            <w:pPr>
              <w:pStyle w:val="FSTableHeading"/>
              <w:cnfStyle w:val="100000000000" w:firstRow="1" w:lastRow="0" w:firstColumn="0" w:lastColumn="0" w:oddVBand="0" w:evenVBand="0" w:oddHBand="0" w:evenHBand="0" w:firstRowFirstColumn="0" w:firstRowLastColumn="0" w:lastRowFirstColumn="0" w:lastRowLastColumn="0"/>
              <w:rPr>
                <w:b/>
                <w:color w:val="auto"/>
              </w:rPr>
            </w:pPr>
            <w:r w:rsidRPr="00050ACC">
              <w:rPr>
                <w:b/>
                <w:color w:val="auto"/>
              </w:rPr>
              <w:t>FSANZ response</w:t>
            </w:r>
            <w:r w:rsidR="001D43F6" w:rsidRPr="00050ACC">
              <w:rPr>
                <w:b/>
                <w:color w:val="auto"/>
              </w:rPr>
              <w:t xml:space="preserve"> (including any amendments to drafting)</w:t>
            </w:r>
          </w:p>
        </w:tc>
      </w:tr>
      <w:tr w:rsidR="007A53BF" w14:paraId="04838FBA" w14:textId="77777777" w:rsidTr="00050A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9" w:type="dxa"/>
            <w:tcBorders>
              <w:right w:val="none" w:sz="0" w:space="0" w:color="auto"/>
            </w:tcBorders>
          </w:tcPr>
          <w:p w14:paraId="6E7823B3" w14:textId="035CE9D0" w:rsidR="007A53BF" w:rsidRPr="00F13334" w:rsidRDefault="0099367F" w:rsidP="005F63F0">
            <w:pPr>
              <w:pStyle w:val="FSTableText"/>
              <w:rPr>
                <w:b w:val="0"/>
              </w:rPr>
            </w:pPr>
            <w:r>
              <w:rPr>
                <w:b w:val="0"/>
              </w:rPr>
              <w:t>T</w:t>
            </w:r>
            <w:r w:rsidR="00F13334">
              <w:rPr>
                <w:b w:val="0"/>
              </w:rPr>
              <w:t xml:space="preserve">wo references </w:t>
            </w:r>
            <w:r>
              <w:rPr>
                <w:b w:val="0"/>
              </w:rPr>
              <w:t>were submitted suggesting</w:t>
            </w:r>
            <w:r w:rsidR="00F13334">
              <w:rPr>
                <w:b w:val="0"/>
              </w:rPr>
              <w:t xml:space="preserve"> this class of emulsifiers </w:t>
            </w:r>
            <w:r>
              <w:rPr>
                <w:b w:val="0"/>
              </w:rPr>
              <w:t>may</w:t>
            </w:r>
            <w:r w:rsidR="00F13334">
              <w:rPr>
                <w:b w:val="0"/>
              </w:rPr>
              <w:t xml:space="preserve"> not </w:t>
            </w:r>
            <w:r>
              <w:rPr>
                <w:b w:val="0"/>
              </w:rPr>
              <w:t>be safe</w:t>
            </w:r>
            <w:r w:rsidR="00F13334">
              <w:rPr>
                <w:b w:val="0"/>
              </w:rPr>
              <w:t>.</w:t>
            </w:r>
          </w:p>
        </w:tc>
        <w:tc>
          <w:tcPr>
            <w:tcW w:w="2835" w:type="dxa"/>
            <w:tcBorders>
              <w:left w:val="none" w:sz="0" w:space="0" w:color="auto"/>
              <w:right w:val="none" w:sz="0" w:space="0" w:color="auto"/>
            </w:tcBorders>
          </w:tcPr>
          <w:p w14:paraId="11FE84FD" w14:textId="4F2D990B" w:rsidR="007A53BF" w:rsidRPr="000778D6" w:rsidRDefault="005D6EF3" w:rsidP="008C4E76">
            <w:pPr>
              <w:pStyle w:val="FSTableText"/>
              <w:cnfStyle w:val="000000100000" w:firstRow="0" w:lastRow="0" w:firstColumn="0" w:lastColumn="0" w:oddVBand="0" w:evenVBand="0" w:oddHBand="1" w:evenHBand="0" w:firstRowFirstColumn="0" w:firstRowLastColumn="0" w:lastRowFirstColumn="0" w:lastRowLastColumn="0"/>
            </w:pPr>
            <w:r>
              <w:t>Food Intolerance Network</w:t>
            </w:r>
          </w:p>
        </w:tc>
        <w:tc>
          <w:tcPr>
            <w:tcW w:w="5386" w:type="dxa"/>
            <w:tcBorders>
              <w:left w:val="none" w:sz="0" w:space="0" w:color="auto"/>
            </w:tcBorders>
          </w:tcPr>
          <w:p w14:paraId="6C40943B" w14:textId="12BABAF8" w:rsidR="007A53BF" w:rsidRPr="000778D6" w:rsidRDefault="00F13334" w:rsidP="005D5FD3">
            <w:pPr>
              <w:pStyle w:val="FSTableText"/>
              <w:cnfStyle w:val="000000100000" w:firstRow="0" w:lastRow="0" w:firstColumn="0" w:lastColumn="0" w:oddVBand="0" w:evenVBand="0" w:oddHBand="1" w:evenHBand="0" w:firstRowFirstColumn="0" w:firstRowLastColumn="0" w:lastRowFirstColumn="0" w:lastRowLastColumn="0"/>
            </w:pPr>
            <w:r>
              <w:t xml:space="preserve">FSANZ </w:t>
            </w:r>
            <w:r w:rsidR="00515911">
              <w:t xml:space="preserve">assessed the scientific </w:t>
            </w:r>
            <w:r w:rsidR="0099367F">
              <w:t xml:space="preserve">merits </w:t>
            </w:r>
            <w:r>
              <w:t>of these two references</w:t>
            </w:r>
            <w:r w:rsidR="008D45C7">
              <w:t xml:space="preserve"> </w:t>
            </w:r>
            <w:r w:rsidR="0099367F">
              <w:t xml:space="preserve">and </w:t>
            </w:r>
            <w:r w:rsidR="00515911">
              <w:t>determined</w:t>
            </w:r>
            <w:r w:rsidR="0099367F">
              <w:t xml:space="preserve"> </w:t>
            </w:r>
            <w:r w:rsidR="00515911">
              <w:t>they</w:t>
            </w:r>
            <w:r w:rsidR="008D45C7">
              <w:t xml:space="preserve"> do not change FSANZ’s overall conclusion that polysorbate 20 is both safe and suitable for the proposed purpose. It also does not change the assessment that the other three permitted polysorbate food additives are also safe.</w:t>
            </w:r>
          </w:p>
        </w:tc>
      </w:tr>
      <w:tr w:rsidR="007A53BF" w14:paraId="335F301A" w14:textId="77777777" w:rsidTr="00050A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9" w:type="dxa"/>
            <w:tcBorders>
              <w:right w:val="none" w:sz="0" w:space="0" w:color="auto"/>
            </w:tcBorders>
          </w:tcPr>
          <w:p w14:paraId="462D8273" w14:textId="026377CD" w:rsidR="007A53BF" w:rsidRPr="00E74FDA" w:rsidRDefault="00E74FDA" w:rsidP="008C4E76">
            <w:pPr>
              <w:pStyle w:val="FSTableText"/>
              <w:rPr>
                <w:b w:val="0"/>
              </w:rPr>
            </w:pPr>
            <w:r w:rsidRPr="00E74FDA">
              <w:rPr>
                <w:b w:val="0"/>
              </w:rPr>
              <w:t xml:space="preserve">Concern that </w:t>
            </w:r>
            <w:r>
              <w:rPr>
                <w:b w:val="0"/>
              </w:rPr>
              <w:t>emulsifiers disrupt microbiota and promote obesity, based on Chassaing et al (2015</w:t>
            </w:r>
            <w:r w:rsidR="006178AF">
              <w:rPr>
                <w:b w:val="0"/>
              </w:rPr>
              <w:t>)</w:t>
            </w:r>
          </w:p>
        </w:tc>
        <w:tc>
          <w:tcPr>
            <w:tcW w:w="2835" w:type="dxa"/>
            <w:tcBorders>
              <w:left w:val="none" w:sz="0" w:space="0" w:color="auto"/>
              <w:right w:val="none" w:sz="0" w:space="0" w:color="auto"/>
            </w:tcBorders>
          </w:tcPr>
          <w:p w14:paraId="5AF2523D" w14:textId="6382C873" w:rsidR="007A53BF" w:rsidRPr="000778D6" w:rsidRDefault="00F13334" w:rsidP="008C4E76">
            <w:pPr>
              <w:pStyle w:val="FSTableText"/>
              <w:cnfStyle w:val="000000010000" w:firstRow="0" w:lastRow="0" w:firstColumn="0" w:lastColumn="0" w:oddVBand="0" w:evenVBand="0" w:oddHBand="0" w:evenHBand="1" w:firstRowFirstColumn="0" w:firstRowLastColumn="0" w:lastRowFirstColumn="0" w:lastRowLastColumn="0"/>
            </w:pPr>
            <w:r>
              <w:t>Food Intolerance Network</w:t>
            </w:r>
          </w:p>
        </w:tc>
        <w:tc>
          <w:tcPr>
            <w:tcW w:w="5386" w:type="dxa"/>
            <w:tcBorders>
              <w:left w:val="none" w:sz="0" w:space="0" w:color="auto"/>
            </w:tcBorders>
          </w:tcPr>
          <w:p w14:paraId="313C6B7C" w14:textId="41FF4908" w:rsidR="001814C0" w:rsidRDefault="00E74FDA" w:rsidP="00A41DD5">
            <w:pPr>
              <w:pStyle w:val="FSTableText"/>
              <w:cnfStyle w:val="000000010000" w:firstRow="0" w:lastRow="0" w:firstColumn="0" w:lastColumn="0" w:oddVBand="0" w:evenVBand="0" w:oddHBand="0" w:evenHBand="1" w:firstRowFirstColumn="0" w:firstRowLastColumn="0" w:lastRowFirstColumn="0" w:lastRowLastColumn="0"/>
            </w:pPr>
            <w:r>
              <w:t xml:space="preserve">FSANZ previously reviewed Chassaing et al (2015). The paper reported that mice gained weight when administered 1% polysorbate 80 in drinking water, </w:t>
            </w:r>
            <w:r w:rsidR="00234B64">
              <w:t>which is</w:t>
            </w:r>
            <w:r>
              <w:t xml:space="preserve"> inconsistent with the results of other studies in mice, which tested much higher doses. Administration of polysorbates in the diet, at up to 7.5 g/kg bw/day, is consistently associated with weight loss in mice, rats and hamsters in numerous other studies (see review by EFSA, 2015).</w:t>
            </w:r>
            <w:r w:rsidR="00234B64">
              <w:t xml:space="preserve"> The toxicological significance of the Chassaing study is therefore unclear. </w:t>
            </w:r>
            <w:r>
              <w:t xml:space="preserve">The exposure levels in the Chassaing study significantly exceed likely human exposures </w:t>
            </w:r>
            <w:r w:rsidR="00044E1B">
              <w:t xml:space="preserve">of </w:t>
            </w:r>
            <w:r>
              <w:t>polysorbate</w:t>
            </w:r>
            <w:r w:rsidR="00044E1B">
              <w:t>s</w:t>
            </w:r>
            <w:r>
              <w:t xml:space="preserve">. </w:t>
            </w:r>
            <w:r w:rsidR="00044E1B">
              <w:t>T</w:t>
            </w:r>
            <w:r>
              <w:t xml:space="preserve">he level of emulsifier in the drinking water of the mice was </w:t>
            </w:r>
            <w:r w:rsidR="00044E1B">
              <w:t>approximately 1500 mg/kg bw/day</w:t>
            </w:r>
            <w:r w:rsidR="00A41DD5">
              <w:t>.</w:t>
            </w:r>
          </w:p>
          <w:p w14:paraId="1D49CD8C" w14:textId="3BFAC736" w:rsidR="007A53BF" w:rsidRPr="000778D6" w:rsidRDefault="005D5FD3" w:rsidP="00A41DD5">
            <w:pPr>
              <w:pStyle w:val="FSTableText"/>
              <w:cnfStyle w:val="000000010000" w:firstRow="0" w:lastRow="0" w:firstColumn="0" w:lastColumn="0" w:oddVBand="0" w:evenVBand="0" w:oddHBand="0" w:evenHBand="1" w:firstRowFirstColumn="0" w:firstRowLastColumn="0" w:lastRowFirstColumn="0" w:lastRowLastColumn="0"/>
            </w:pPr>
            <w:r>
              <w:t>See a more detailed assessment in section 2.1.1 below</w:t>
            </w:r>
            <w:r w:rsidR="00044E1B">
              <w:t xml:space="preserve">. </w:t>
            </w:r>
          </w:p>
        </w:tc>
      </w:tr>
      <w:tr w:rsidR="007A53BF" w14:paraId="07197416" w14:textId="77777777" w:rsidTr="00C35D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9" w:type="dxa"/>
            <w:tcBorders>
              <w:bottom w:val="single" w:sz="4" w:space="0" w:color="auto"/>
              <w:right w:val="none" w:sz="0" w:space="0" w:color="auto"/>
            </w:tcBorders>
          </w:tcPr>
          <w:p w14:paraId="65C530C8" w14:textId="1370EED6" w:rsidR="007A53BF" w:rsidRPr="00044E1B" w:rsidRDefault="00044E1B" w:rsidP="006178AF">
            <w:pPr>
              <w:pStyle w:val="FSTableText"/>
              <w:rPr>
                <w:b w:val="0"/>
              </w:rPr>
            </w:pPr>
            <w:r w:rsidRPr="00044E1B">
              <w:rPr>
                <w:b w:val="0"/>
              </w:rPr>
              <w:t>Concern that emulsifiers are associated with gut leakage and autoimmune disease</w:t>
            </w:r>
            <w:r w:rsidR="006178AF">
              <w:rPr>
                <w:b w:val="0"/>
              </w:rPr>
              <w:t xml:space="preserve">, based on </w:t>
            </w:r>
            <w:r w:rsidR="006178AF" w:rsidRPr="006178AF">
              <w:rPr>
                <w:b w:val="0"/>
              </w:rPr>
              <w:t>Lerner and Matthias (2015)</w:t>
            </w:r>
          </w:p>
        </w:tc>
        <w:tc>
          <w:tcPr>
            <w:tcW w:w="2835" w:type="dxa"/>
            <w:tcBorders>
              <w:left w:val="none" w:sz="0" w:space="0" w:color="auto"/>
              <w:bottom w:val="single" w:sz="4" w:space="0" w:color="auto"/>
              <w:right w:val="none" w:sz="0" w:space="0" w:color="auto"/>
            </w:tcBorders>
          </w:tcPr>
          <w:p w14:paraId="58ED529B" w14:textId="08BFEEE9" w:rsidR="007A53BF" w:rsidRPr="000778D6" w:rsidRDefault="00F13334" w:rsidP="008C4E76">
            <w:pPr>
              <w:pStyle w:val="FSTableText"/>
              <w:cnfStyle w:val="000000100000" w:firstRow="0" w:lastRow="0" w:firstColumn="0" w:lastColumn="0" w:oddVBand="0" w:evenVBand="0" w:oddHBand="1" w:evenHBand="0" w:firstRowFirstColumn="0" w:firstRowLastColumn="0" w:lastRowFirstColumn="0" w:lastRowLastColumn="0"/>
            </w:pPr>
            <w:r>
              <w:t>Food Intolerance Network</w:t>
            </w:r>
          </w:p>
        </w:tc>
        <w:tc>
          <w:tcPr>
            <w:tcW w:w="5386" w:type="dxa"/>
            <w:tcBorders>
              <w:left w:val="none" w:sz="0" w:space="0" w:color="auto"/>
              <w:bottom w:val="single" w:sz="4" w:space="0" w:color="auto"/>
            </w:tcBorders>
          </w:tcPr>
          <w:p w14:paraId="1D08A9DA" w14:textId="77777777" w:rsidR="005D5FD3" w:rsidRDefault="004F2111" w:rsidP="00515911">
            <w:pPr>
              <w:pStyle w:val="FSTableText"/>
              <w:cnfStyle w:val="000000100000" w:firstRow="0" w:lastRow="0" w:firstColumn="0" w:lastColumn="0" w:oddVBand="0" w:evenVBand="0" w:oddHBand="1" w:evenHBand="0" w:firstRowFirstColumn="0" w:firstRowLastColumn="0" w:lastRowFirstColumn="0" w:lastRowLastColumn="0"/>
            </w:pPr>
            <w:r>
              <w:t xml:space="preserve">FSANZ has reviewed Lerner and Matthias (2015). The paper mentions polysorbates only once and provides no evidence that they are associated with gut leakage or autoimmune diseases. FSANZ has not </w:t>
            </w:r>
            <w:r w:rsidR="00515911">
              <w:t xml:space="preserve">identified </w:t>
            </w:r>
            <w:r>
              <w:t>any evidence from other sources that dietary polysorbate</w:t>
            </w:r>
            <w:r w:rsidR="00215C94">
              <w:t xml:space="preserve"> exposure is</w:t>
            </w:r>
            <w:r>
              <w:t xml:space="preserve"> associated with either gut leakage or autoimmune disease. </w:t>
            </w:r>
          </w:p>
          <w:p w14:paraId="2386D801" w14:textId="228617CD" w:rsidR="007A53BF" w:rsidRPr="000778D6" w:rsidRDefault="005D5FD3" w:rsidP="005D5FD3">
            <w:pPr>
              <w:pStyle w:val="FSTableText"/>
              <w:cnfStyle w:val="000000100000" w:firstRow="0" w:lastRow="0" w:firstColumn="0" w:lastColumn="0" w:oddVBand="0" w:evenVBand="0" w:oddHBand="1" w:evenHBand="0" w:firstRowFirstColumn="0" w:firstRowLastColumn="0" w:lastRowFirstColumn="0" w:lastRowLastColumn="0"/>
            </w:pPr>
            <w:r>
              <w:t xml:space="preserve">See a more detailed assessment in section 2.1.2 below. </w:t>
            </w:r>
            <w:r w:rsidR="004F2111">
              <w:t xml:space="preserve"> </w:t>
            </w:r>
          </w:p>
        </w:tc>
      </w:tr>
      <w:tr w:rsidR="00C35D2F" w14:paraId="7841861D" w14:textId="77777777" w:rsidTr="00C35D2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1490798A" w14:textId="0187EC8F" w:rsidR="00C35D2F" w:rsidRPr="00EA48C5" w:rsidRDefault="00EA48C5" w:rsidP="008C4E76">
            <w:pPr>
              <w:pStyle w:val="FSTableText"/>
              <w:rPr>
                <w:b w:val="0"/>
              </w:rPr>
            </w:pPr>
            <w:r w:rsidRPr="00EA48C5">
              <w:rPr>
                <w:b w:val="0"/>
              </w:rPr>
              <w:lastRenderedPageBreak/>
              <w:t xml:space="preserve">The preference would be for </w:t>
            </w:r>
            <w:r>
              <w:rPr>
                <w:b w:val="0"/>
              </w:rPr>
              <w:t xml:space="preserve">consideration of polysorbates as a group as this would more closely align the Code with the Codex GSFA, as this takes into account all the polysorbates that share a JECFA group ADI. It is understood this is outside the scope of the application and would be more appropriately dealt with </w:t>
            </w:r>
            <w:r w:rsidR="00781133">
              <w:rPr>
                <w:b w:val="0"/>
              </w:rPr>
              <w:t>under a wider review of permissions.</w:t>
            </w:r>
          </w:p>
        </w:tc>
        <w:tc>
          <w:tcPr>
            <w:tcW w:w="2835" w:type="dxa"/>
            <w:tcBorders>
              <w:left w:val="single" w:sz="4" w:space="0" w:color="auto"/>
              <w:right w:val="single" w:sz="4" w:space="0" w:color="auto"/>
            </w:tcBorders>
          </w:tcPr>
          <w:p w14:paraId="059363CD" w14:textId="5C58C59A" w:rsidR="00C35D2F" w:rsidRPr="000778D6" w:rsidRDefault="00EA48C5" w:rsidP="008C4E76">
            <w:pPr>
              <w:pStyle w:val="FSTableText"/>
              <w:cnfStyle w:val="000000010000" w:firstRow="0" w:lastRow="0" w:firstColumn="0" w:lastColumn="0" w:oddVBand="0" w:evenVBand="0" w:oddHBand="0" w:evenHBand="1" w:firstRowFirstColumn="0" w:firstRowLastColumn="0" w:lastRowFirstColumn="0" w:lastRowLastColumn="0"/>
            </w:pPr>
            <w:r>
              <w:t>Ministry for Primary Industries (New Zealand)</w:t>
            </w:r>
          </w:p>
        </w:tc>
        <w:tc>
          <w:tcPr>
            <w:tcW w:w="5386" w:type="dxa"/>
            <w:tcBorders>
              <w:left w:val="single" w:sz="4" w:space="0" w:color="auto"/>
            </w:tcBorders>
          </w:tcPr>
          <w:p w14:paraId="02685996" w14:textId="62E73878" w:rsidR="00C35D2F" w:rsidRDefault="008E734E" w:rsidP="00515911">
            <w:pPr>
              <w:pStyle w:val="FSTableText"/>
              <w:cnfStyle w:val="000000010000" w:firstRow="0" w:lastRow="0" w:firstColumn="0" w:lastColumn="0" w:oddVBand="0" w:evenVBand="0" w:oddHBand="0" w:evenHBand="1" w:firstRowFirstColumn="0" w:firstRowLastColumn="0" w:lastRowFirstColumn="0" w:lastRowLastColumn="0"/>
            </w:pPr>
            <w:r>
              <w:t>The comment is noted as is the fact this is outside the scope of the application.</w:t>
            </w:r>
          </w:p>
        </w:tc>
      </w:tr>
      <w:tr w:rsidR="00C35D2F" w14:paraId="0FBD913B" w14:textId="77777777" w:rsidTr="00C35D2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9" w:type="dxa"/>
            <w:tcBorders>
              <w:right w:val="single" w:sz="4" w:space="0" w:color="auto"/>
            </w:tcBorders>
          </w:tcPr>
          <w:p w14:paraId="1C2FB2B3" w14:textId="7270C38D" w:rsidR="00C35D2F" w:rsidRPr="00416C34" w:rsidRDefault="00416C34" w:rsidP="008C4E76">
            <w:pPr>
              <w:pStyle w:val="FSTableText"/>
              <w:rPr>
                <w:b w:val="0"/>
              </w:rPr>
            </w:pPr>
            <w:r w:rsidRPr="00416C34">
              <w:rPr>
                <w:b w:val="0"/>
              </w:rPr>
              <w:t xml:space="preserve">It is suggested that at some time in the future </w:t>
            </w:r>
            <w:r>
              <w:rPr>
                <w:b w:val="0"/>
              </w:rPr>
              <w:t xml:space="preserve">a review of selected ‘food additive families’ that have a collective ADI be undertaken. The justification for such work would be to ensure the most efficient and effective members of the families are not discriminated against just because they are the last added to the Code. </w:t>
            </w:r>
          </w:p>
        </w:tc>
        <w:tc>
          <w:tcPr>
            <w:tcW w:w="2835" w:type="dxa"/>
            <w:tcBorders>
              <w:left w:val="single" w:sz="4" w:space="0" w:color="auto"/>
              <w:right w:val="single" w:sz="4" w:space="0" w:color="auto"/>
            </w:tcBorders>
          </w:tcPr>
          <w:p w14:paraId="6CE73E36" w14:textId="2264D45D" w:rsidR="00C35D2F" w:rsidRPr="000778D6" w:rsidRDefault="00416C34" w:rsidP="008C4E76">
            <w:pPr>
              <w:pStyle w:val="FSTableText"/>
              <w:cnfStyle w:val="000000100000" w:firstRow="0" w:lastRow="0" w:firstColumn="0" w:lastColumn="0" w:oddVBand="0" w:evenVBand="0" w:oddHBand="1" w:evenHBand="0" w:firstRowFirstColumn="0" w:firstRowLastColumn="0" w:lastRowFirstColumn="0" w:lastRowLastColumn="0"/>
            </w:pPr>
            <w:r>
              <w:t>New Zealand Food &amp; Grocery Council</w:t>
            </w:r>
          </w:p>
        </w:tc>
        <w:tc>
          <w:tcPr>
            <w:tcW w:w="5386" w:type="dxa"/>
            <w:tcBorders>
              <w:left w:val="single" w:sz="4" w:space="0" w:color="auto"/>
            </w:tcBorders>
          </w:tcPr>
          <w:p w14:paraId="7E4A9EDD" w14:textId="5974BCE6" w:rsidR="00C35D2F" w:rsidRDefault="00416C34" w:rsidP="00515911">
            <w:pPr>
              <w:pStyle w:val="FSTableText"/>
              <w:cnfStyle w:val="000000100000" w:firstRow="0" w:lastRow="0" w:firstColumn="0" w:lastColumn="0" w:oddVBand="0" w:evenVBand="0" w:oddHBand="1" w:evenHBand="0" w:firstRowFirstColumn="0" w:firstRowLastColumn="0" w:lastRowFirstColumn="0" w:lastRowLastColumn="0"/>
            </w:pPr>
            <w:r>
              <w:t>The comment is noted but the request is outside the scope of the application.</w:t>
            </w:r>
          </w:p>
        </w:tc>
      </w:tr>
    </w:tbl>
    <w:p w14:paraId="30E53468" w14:textId="77777777" w:rsidR="002B33FC" w:rsidRDefault="002B33FC" w:rsidP="007A53BF">
      <w:pPr>
        <w:rPr>
          <w:color w:val="00B050"/>
        </w:rPr>
        <w:sectPr w:rsidR="002B33FC" w:rsidSect="002B33FC">
          <w:pgSz w:w="16838" w:h="11906" w:orient="landscape" w:code="9"/>
          <w:pgMar w:top="1418" w:right="1418" w:bottom="1418" w:left="1418" w:header="709" w:footer="709" w:gutter="0"/>
          <w:cols w:space="708"/>
          <w:docGrid w:linePitch="360"/>
        </w:sectPr>
      </w:pPr>
    </w:p>
    <w:p w14:paraId="3C4E5CE2" w14:textId="30E55D3D" w:rsidR="005F63F0" w:rsidRDefault="005F63F0" w:rsidP="005F63F0">
      <w:pPr>
        <w:pStyle w:val="Heading3"/>
      </w:pPr>
      <w:bookmarkStart w:id="51" w:name="_Toc521320618"/>
      <w:bookmarkStart w:id="52" w:name="_Toc370223472"/>
      <w:bookmarkStart w:id="53" w:name="_Toc370225387"/>
      <w:bookmarkStart w:id="54" w:name="_Toc309291812"/>
      <w:bookmarkStart w:id="55" w:name="_Toc175381442"/>
      <w:bookmarkEnd w:id="45"/>
      <w:bookmarkEnd w:id="46"/>
      <w:bookmarkEnd w:id="47"/>
      <w:bookmarkEnd w:id="48"/>
      <w:bookmarkEnd w:id="49"/>
      <w:bookmarkEnd w:id="50"/>
      <w:r>
        <w:lastRenderedPageBreak/>
        <w:t>2.1.1</w:t>
      </w:r>
      <w:r>
        <w:tab/>
        <w:t xml:space="preserve">FSANZ’s review of </w:t>
      </w:r>
      <w:r w:rsidR="00BF3AE6" w:rsidRPr="00BF3AE6">
        <w:t>Chassaing et al (2015</w:t>
      </w:r>
      <w:r w:rsidR="00BF3AE6">
        <w:t>)</w:t>
      </w:r>
      <w:bookmarkEnd w:id="51"/>
    </w:p>
    <w:p w14:paraId="637EC2E0" w14:textId="4AE851D5" w:rsidR="000E2706" w:rsidRPr="000E2706" w:rsidRDefault="000E2706" w:rsidP="000E2706">
      <w:pPr>
        <w:rPr>
          <w:lang w:eastAsia="en-AU" w:bidi="ar-SA"/>
        </w:rPr>
      </w:pPr>
      <w:r w:rsidRPr="000E2706">
        <w:rPr>
          <w:lang w:eastAsia="en-AU" w:bidi="ar-SA"/>
        </w:rPr>
        <w:t>In this study, mice were exposed orally to either carboxymethylcellulose (CMC) or polysorbate 80 in drinking water or mouse chow at 1.0%. The authors reported that these treatments were associated with a number of changes including reduced thickness of the gut mucus, with greater proximity of gut bacteria to the gut epithelium, alterations in the composition of the gut microbe population, low-grade intestinal inflammation, impaired glycaemic control, and increases in food consumption, body weights and adipose deposition. It was also reported that 0.1% CMC in mouse chow resulted in increased bodyweight and blood glucose and 0.1% polysorbate 80 resulted in low-grade inflammation and increased adiposity</w:t>
      </w:r>
      <w:r>
        <w:rPr>
          <w:lang w:eastAsia="en-AU" w:bidi="ar-SA"/>
        </w:rPr>
        <w:t>. T</w:t>
      </w:r>
      <w:r w:rsidRPr="000E2706">
        <w:rPr>
          <w:lang w:eastAsia="en-AU" w:bidi="ar-SA"/>
        </w:rPr>
        <w:t>he authors concluded that additional studies would be required to establish the relevance of these findings to humans.</w:t>
      </w:r>
    </w:p>
    <w:p w14:paraId="1106E9B7" w14:textId="77777777" w:rsidR="000E2706" w:rsidRPr="000E2706" w:rsidRDefault="000E2706" w:rsidP="000E2706">
      <w:pPr>
        <w:rPr>
          <w:lang w:eastAsia="en-AU" w:bidi="ar-SA"/>
        </w:rPr>
      </w:pPr>
    </w:p>
    <w:p w14:paraId="5140B8E4" w14:textId="5586593E" w:rsidR="000E2706" w:rsidRPr="000E2706" w:rsidRDefault="000E2706" w:rsidP="000E2706">
      <w:pPr>
        <w:rPr>
          <w:lang w:eastAsia="en-AU" w:bidi="ar-SA"/>
        </w:rPr>
      </w:pPr>
      <w:r w:rsidRPr="000E2706">
        <w:rPr>
          <w:lang w:eastAsia="en-AU" w:bidi="ar-SA"/>
        </w:rPr>
        <w:t xml:space="preserve">FSANZ does not consider these results are relevant to the assessment of polysorbates, </w:t>
      </w:r>
      <w:r w:rsidR="00F1562B">
        <w:rPr>
          <w:lang w:eastAsia="en-AU" w:bidi="ar-SA"/>
        </w:rPr>
        <w:t>for the following reasons</w:t>
      </w:r>
      <w:r w:rsidRPr="000E2706">
        <w:rPr>
          <w:lang w:eastAsia="en-AU" w:bidi="ar-SA"/>
        </w:rPr>
        <w:t xml:space="preserve">: </w:t>
      </w:r>
    </w:p>
    <w:p w14:paraId="3B01F17F" w14:textId="77777777" w:rsidR="000E2706" w:rsidRPr="000E2706" w:rsidRDefault="000E2706" w:rsidP="000E2706">
      <w:pPr>
        <w:rPr>
          <w:lang w:eastAsia="en-AU" w:bidi="ar-SA"/>
        </w:rPr>
      </w:pPr>
    </w:p>
    <w:p w14:paraId="549A79D7" w14:textId="2C1FA721" w:rsidR="000E2706" w:rsidRPr="000E2706" w:rsidRDefault="000E2706" w:rsidP="005D5FD3">
      <w:pPr>
        <w:pStyle w:val="FSBullet1"/>
        <w:rPr>
          <w:lang w:eastAsia="en-AU"/>
        </w:rPr>
      </w:pPr>
      <w:r w:rsidRPr="000E2706">
        <w:rPr>
          <w:lang w:eastAsia="en-AU"/>
        </w:rPr>
        <w:t xml:space="preserve">The </w:t>
      </w:r>
      <w:r>
        <w:rPr>
          <w:lang w:eastAsia="en-AU"/>
        </w:rPr>
        <w:t>increased bodyweights and adipose deposition observed in mice by Chassaing et al (2015)</w:t>
      </w:r>
      <w:r w:rsidRPr="000E2706">
        <w:rPr>
          <w:lang w:eastAsia="en-AU"/>
        </w:rPr>
        <w:t xml:space="preserve"> are inconsistent with the results of other studies of these emulsifiers in mice, which tested much higher doses. CMC at up to 10% of the diet had no effect on bodyweight in mice (Mondal and Yeasman 2016). In addition, administration of polysorbates in the diet of mice, at up to 7.5 g/kg bw/day, is consistently associated with weight loss in mice, rats and hamsters in numerous studies by other researchers (reviewed by the European Food Safety Authority (EFSA) (2015)). </w:t>
      </w:r>
    </w:p>
    <w:p w14:paraId="45410BBD" w14:textId="77777777" w:rsidR="000E2706" w:rsidRPr="000E2706" w:rsidRDefault="000E2706" w:rsidP="005D5FD3">
      <w:pPr>
        <w:pStyle w:val="FSBullet1"/>
        <w:numPr>
          <w:ilvl w:val="0"/>
          <w:numId w:val="0"/>
        </w:numPr>
        <w:ind w:left="567"/>
        <w:rPr>
          <w:lang w:eastAsia="en-AU"/>
        </w:rPr>
      </w:pPr>
    </w:p>
    <w:p w14:paraId="6B6C3B4F" w14:textId="432BCA4C" w:rsidR="000E2706" w:rsidRPr="000E2706" w:rsidRDefault="000E2706" w:rsidP="005D5FD3">
      <w:pPr>
        <w:pStyle w:val="FSBullet1"/>
        <w:rPr>
          <w:lang w:eastAsia="en-AU"/>
        </w:rPr>
      </w:pPr>
      <w:r w:rsidRPr="000E2706">
        <w:rPr>
          <w:lang w:eastAsia="en-AU"/>
        </w:rPr>
        <w:t xml:space="preserve">The exposure levels in the Chassaing </w:t>
      </w:r>
      <w:r w:rsidR="005D5FD3">
        <w:rPr>
          <w:lang w:eastAsia="en-AU"/>
        </w:rPr>
        <w:t xml:space="preserve">et al </w:t>
      </w:r>
      <w:r w:rsidRPr="000E2706">
        <w:rPr>
          <w:lang w:eastAsia="en-AU"/>
        </w:rPr>
        <w:t xml:space="preserve">study were very high and significantly exceed likely human exposures to CMC or polysorbate 80. For example, the level of emulsifier in the drinking water of the mice was approximately 1500 mg/kg bw/day, 0.1% emulsifier in the diet of a mouse is approximately 120 mg emulsifier/kg bw/day, and 1% emulsifier in the diet is 1200 mg/kg bw/day. In comparison, a recent dietary exposure assessment in the USA (Shah et al. 2017) found that the highest mean dietary exposure to CMC is approximately 30 mg/kg bw/day and that of polysorbate 80 is approximately 15 mg/kg bw/day. EFSA (2015) estimated that mean exposure to polysorbates in Europe ranges from 0.7 mg/kg bw/day in adults to 25 mg/kg bw/day in toddlers. </w:t>
      </w:r>
      <w:r w:rsidR="005F4D69">
        <w:rPr>
          <w:lang w:eastAsia="en-AU"/>
        </w:rPr>
        <w:t>The doses u</w:t>
      </w:r>
      <w:r w:rsidR="008D1569">
        <w:rPr>
          <w:lang w:eastAsia="en-AU"/>
        </w:rPr>
        <w:t xml:space="preserve">sed in the mice are therefore far in excess of those seen in human populations. </w:t>
      </w:r>
    </w:p>
    <w:p w14:paraId="03AF0FC2" w14:textId="77777777" w:rsidR="000E2706" w:rsidRPr="000E2706" w:rsidRDefault="000E2706" w:rsidP="000E2706">
      <w:pPr>
        <w:rPr>
          <w:lang w:eastAsia="en-AU" w:bidi="ar-SA"/>
        </w:rPr>
      </w:pPr>
    </w:p>
    <w:p w14:paraId="6DFC3EF2" w14:textId="77777777" w:rsidR="000E2706" w:rsidRPr="000E2706" w:rsidRDefault="000E2706" w:rsidP="000E2706">
      <w:pPr>
        <w:rPr>
          <w:lang w:eastAsia="en-AU" w:bidi="ar-SA"/>
        </w:rPr>
      </w:pPr>
      <w:r w:rsidRPr="000E2706">
        <w:rPr>
          <w:lang w:eastAsia="en-AU" w:bidi="ar-SA"/>
        </w:rPr>
        <w:t>References:</w:t>
      </w:r>
    </w:p>
    <w:p w14:paraId="0107AFF8" w14:textId="77777777" w:rsidR="000E2706" w:rsidRPr="000E2706" w:rsidRDefault="000E2706" w:rsidP="000E2706">
      <w:pPr>
        <w:rPr>
          <w:lang w:eastAsia="en-AU" w:bidi="ar-SA"/>
        </w:rPr>
      </w:pPr>
    </w:p>
    <w:p w14:paraId="1EF67FDB" w14:textId="77777777" w:rsidR="000E2706" w:rsidRPr="000E2706" w:rsidRDefault="000E2706" w:rsidP="000E2706">
      <w:pPr>
        <w:rPr>
          <w:lang w:eastAsia="en-AU" w:bidi="ar-SA"/>
        </w:rPr>
      </w:pPr>
      <w:r w:rsidRPr="000E2706">
        <w:rPr>
          <w:lang w:eastAsia="en-AU" w:bidi="ar-SA"/>
        </w:rPr>
        <w:t>EFSA (2015). Scientific Opinion on the re-evaluation of polyoxyethylene sorbitan monolaurate (E 432), polyoxyethylene sorbitan monooleate (E 433), polyoxyethylene sorbitan monopalmitate (E 434), polyoxyethylene sorbitan monostearate (E 435)and polyoxyethylene sorbitan tristearate (E 436) as food additives. EFSA Journal 13(7): 4152, 74 pp. doi:10.2903/j.efsa.2015.4152</w:t>
      </w:r>
    </w:p>
    <w:p w14:paraId="7193C854" w14:textId="77777777" w:rsidR="000E2706" w:rsidRPr="000E2706" w:rsidRDefault="000E2706" w:rsidP="000E2706">
      <w:pPr>
        <w:rPr>
          <w:lang w:eastAsia="en-AU" w:bidi="ar-SA"/>
        </w:rPr>
      </w:pPr>
    </w:p>
    <w:p w14:paraId="4D7926B4" w14:textId="77777777" w:rsidR="000E2706" w:rsidRPr="000E2706" w:rsidRDefault="000E2706" w:rsidP="000E2706">
      <w:pPr>
        <w:rPr>
          <w:lang w:eastAsia="en-AU" w:bidi="ar-SA"/>
        </w:rPr>
      </w:pPr>
      <w:r w:rsidRPr="000E2706">
        <w:rPr>
          <w:lang w:eastAsia="en-AU" w:bidi="ar-SA"/>
        </w:rPr>
        <w:t>Mondal MI and Yeasmin MS (2016). Toxicity study of food-grade carboxymethyl cellulose synthesized from maize husk in Swiss albino mice. Int J Biol Macromol.92:965-971. doi: 10.1016/j.ijbiomac.2016.08.012.</w:t>
      </w:r>
    </w:p>
    <w:p w14:paraId="3BCEA414" w14:textId="77777777" w:rsidR="000E2706" w:rsidRPr="000E2706" w:rsidRDefault="000E2706" w:rsidP="000E2706">
      <w:pPr>
        <w:rPr>
          <w:lang w:eastAsia="en-AU" w:bidi="ar-SA"/>
        </w:rPr>
      </w:pPr>
    </w:p>
    <w:p w14:paraId="6074874B" w14:textId="01796132" w:rsidR="00BF3AE6" w:rsidRPr="000E2706" w:rsidRDefault="000E2706" w:rsidP="000E2706">
      <w:pPr>
        <w:rPr>
          <w:lang w:eastAsia="en-AU" w:bidi="ar-SA"/>
        </w:rPr>
      </w:pPr>
      <w:r w:rsidRPr="000E2706">
        <w:rPr>
          <w:lang w:eastAsia="en-AU" w:bidi="ar-SA"/>
        </w:rPr>
        <w:t>Shah R, Kolanos R, DiNovi MJ, Mattia A and Kaneko KJ (2017). Dietary exposures for the safety assessment of seven emulsifiers commonly added to foods in the United States and implications for safety. Food Additives &amp; Contaminants. Part A Apr 19, pp. 1-13. doi:10.1080/19440049.2017.1311420.</w:t>
      </w:r>
    </w:p>
    <w:p w14:paraId="6814BEAF" w14:textId="0F5E66D0" w:rsidR="00BF3AE6" w:rsidRDefault="00BF3AE6" w:rsidP="00BF3AE6">
      <w:pPr>
        <w:rPr>
          <w:lang w:eastAsia="en-AU" w:bidi="ar-SA"/>
        </w:rPr>
      </w:pPr>
    </w:p>
    <w:p w14:paraId="02B59A6A" w14:textId="16B21DCC" w:rsidR="00BF3AE6" w:rsidRDefault="00BF3AE6" w:rsidP="00BF3AE6">
      <w:pPr>
        <w:pStyle w:val="Heading3"/>
      </w:pPr>
      <w:bookmarkStart w:id="56" w:name="_Toc521320619"/>
      <w:r>
        <w:lastRenderedPageBreak/>
        <w:t>2.1.2</w:t>
      </w:r>
      <w:r>
        <w:tab/>
        <w:t xml:space="preserve">FSANZ’s review of </w:t>
      </w:r>
      <w:r w:rsidRPr="00BF3AE6">
        <w:t>Lerner and Matthias (2015)</w:t>
      </w:r>
      <w:bookmarkEnd w:id="56"/>
    </w:p>
    <w:p w14:paraId="75C68776" w14:textId="287A9B86" w:rsidR="00BF3AE6" w:rsidRPr="00041A18" w:rsidRDefault="000D4190" w:rsidP="00BF3AE6">
      <w:pPr>
        <w:rPr>
          <w:lang w:eastAsia="en-AU" w:bidi="ar-SA"/>
        </w:rPr>
      </w:pPr>
      <w:r w:rsidRPr="00041A18">
        <w:rPr>
          <w:lang w:eastAsia="en-AU" w:bidi="ar-SA"/>
        </w:rPr>
        <w:t xml:space="preserve">This review article presents the hypothesis that food additive consumption leads to autoimmune disease by </w:t>
      </w:r>
      <w:r w:rsidR="004C600F" w:rsidRPr="00041A18">
        <w:rPr>
          <w:lang w:eastAsia="en-AU" w:bidi="ar-SA"/>
        </w:rPr>
        <w:t xml:space="preserve">increasing </w:t>
      </w:r>
      <w:r w:rsidR="008D1569">
        <w:rPr>
          <w:lang w:eastAsia="en-AU" w:bidi="ar-SA"/>
        </w:rPr>
        <w:t xml:space="preserve">the </w:t>
      </w:r>
      <w:r w:rsidR="004C600F" w:rsidRPr="00041A18">
        <w:rPr>
          <w:lang w:eastAsia="en-AU" w:bidi="ar-SA"/>
        </w:rPr>
        <w:t xml:space="preserve">permeability of tight junctions between intestinal epithelial cells. </w:t>
      </w:r>
      <w:r w:rsidR="00041A18" w:rsidRPr="00041A18">
        <w:rPr>
          <w:lang w:eastAsia="en-AU" w:bidi="ar-SA"/>
        </w:rPr>
        <w:t xml:space="preserve">In Section 5.3 of the article, the authors discuss possible effects of emulsifiers on intestinal epithelial cell tight junctions. They cite </w:t>
      </w:r>
      <w:r w:rsidR="00041A18" w:rsidRPr="00041A18">
        <w:rPr>
          <w:i/>
          <w:lang w:eastAsia="en-AU" w:bidi="ar-SA"/>
        </w:rPr>
        <w:t>in vitro</w:t>
      </w:r>
      <w:r w:rsidR="00041A18" w:rsidRPr="00041A18">
        <w:rPr>
          <w:lang w:eastAsia="en-AU" w:bidi="ar-SA"/>
        </w:rPr>
        <w:t xml:space="preserve"> studies, using Caco-2 cells</w:t>
      </w:r>
      <w:r w:rsidR="00041A18">
        <w:rPr>
          <w:lang w:eastAsia="en-AU" w:bidi="ar-SA"/>
        </w:rPr>
        <w:t xml:space="preserve">, of disruption of tight junctions by sucrose monoester fatty acids; oleic and docosahexaenoic acids; fatty acids (EPA, DHA, </w:t>
      </w:r>
      <w:r w:rsidR="00041A18">
        <w:rPr>
          <w:rFonts w:cs="Arial"/>
          <w:lang w:eastAsia="en-AU" w:bidi="ar-SA"/>
        </w:rPr>
        <w:t>γ</w:t>
      </w:r>
      <w:r w:rsidR="00041A18">
        <w:rPr>
          <w:lang w:eastAsia="en-AU" w:bidi="ar-SA"/>
        </w:rPr>
        <w:t xml:space="preserve">LA, capric and lauric acids); </w:t>
      </w:r>
      <w:r w:rsidR="005D5FD3">
        <w:rPr>
          <w:lang w:eastAsia="en-AU" w:bidi="ar-SA"/>
        </w:rPr>
        <w:t>sodium</w:t>
      </w:r>
      <w:r w:rsidR="00041A18">
        <w:rPr>
          <w:lang w:eastAsia="en-AU" w:bidi="ar-SA"/>
        </w:rPr>
        <w:t xml:space="preserve">-cholate; Cremophor EL; Gelucire 44/14; sodium taurocholate; benzalkonium chloride and saponin. However no studies showing that polysorbates disrupt tight junctions were cited by the authors, or located by FSANZ by literature search. FSANZ notes that some of the substances </w:t>
      </w:r>
      <w:r w:rsidR="00212633">
        <w:rPr>
          <w:lang w:eastAsia="en-AU" w:bidi="ar-SA"/>
        </w:rPr>
        <w:t xml:space="preserve">named, such as fatty acids and saponins, are normal components of the </w:t>
      </w:r>
      <w:r w:rsidR="009144DC">
        <w:rPr>
          <w:lang w:eastAsia="en-AU" w:bidi="ar-SA"/>
        </w:rPr>
        <w:t>diet of humans and closely related primates</w:t>
      </w:r>
      <w:r w:rsidR="00212633">
        <w:rPr>
          <w:lang w:eastAsia="en-AU" w:bidi="ar-SA"/>
        </w:rPr>
        <w:t>, while the body itself synthesizes cholic acid</w:t>
      </w:r>
      <w:r w:rsidR="003D4EF6">
        <w:rPr>
          <w:lang w:eastAsia="en-AU" w:bidi="ar-SA"/>
        </w:rPr>
        <w:t xml:space="preserve"> and excretes it into the intestinal lumen as part of bile</w:t>
      </w:r>
      <w:r w:rsidR="00212633">
        <w:rPr>
          <w:lang w:eastAsia="en-AU" w:bidi="ar-SA"/>
        </w:rPr>
        <w:t>. Thus, th</w:t>
      </w:r>
      <w:r w:rsidR="003D4EF6">
        <w:rPr>
          <w:lang w:eastAsia="en-AU" w:bidi="ar-SA"/>
        </w:rPr>
        <w:t>e</w:t>
      </w:r>
      <w:r w:rsidR="00212633">
        <w:rPr>
          <w:lang w:eastAsia="en-AU" w:bidi="ar-SA"/>
        </w:rPr>
        <w:t xml:space="preserve"> significance of results from an </w:t>
      </w:r>
      <w:r w:rsidR="00212633" w:rsidRPr="00212633">
        <w:rPr>
          <w:i/>
          <w:lang w:eastAsia="en-AU" w:bidi="ar-SA"/>
        </w:rPr>
        <w:t>in vitro</w:t>
      </w:r>
      <w:r w:rsidR="00212633">
        <w:rPr>
          <w:lang w:eastAsia="en-AU" w:bidi="ar-SA"/>
        </w:rPr>
        <w:t xml:space="preserve"> assay of transformed cells to normal intestinal function </w:t>
      </w:r>
      <w:r w:rsidR="00212633" w:rsidRPr="00212633">
        <w:rPr>
          <w:i/>
          <w:lang w:eastAsia="en-AU" w:bidi="ar-SA"/>
        </w:rPr>
        <w:t>in vivo</w:t>
      </w:r>
      <w:r w:rsidR="00212633">
        <w:rPr>
          <w:lang w:eastAsia="en-AU" w:bidi="ar-SA"/>
        </w:rPr>
        <w:t xml:space="preserve"> is </w:t>
      </w:r>
      <w:r w:rsidR="005A1E7D">
        <w:rPr>
          <w:lang w:eastAsia="en-AU" w:bidi="ar-SA"/>
        </w:rPr>
        <w:t>unclear</w:t>
      </w:r>
      <w:r w:rsidR="003D4EF6">
        <w:rPr>
          <w:lang w:eastAsia="en-AU" w:bidi="ar-SA"/>
        </w:rPr>
        <w:t>. Overall this review article fails to present any</w:t>
      </w:r>
      <w:r w:rsidR="005A1E7D">
        <w:rPr>
          <w:lang w:eastAsia="en-AU" w:bidi="ar-SA"/>
        </w:rPr>
        <w:t xml:space="preserve"> new</w:t>
      </w:r>
      <w:r w:rsidR="003D4EF6">
        <w:rPr>
          <w:lang w:eastAsia="en-AU" w:bidi="ar-SA"/>
        </w:rPr>
        <w:t xml:space="preserve"> </w:t>
      </w:r>
      <w:r w:rsidR="003D4EF6" w:rsidRPr="003D4EF6">
        <w:rPr>
          <w:i/>
          <w:lang w:eastAsia="en-AU" w:bidi="ar-SA"/>
        </w:rPr>
        <w:t>in vivo</w:t>
      </w:r>
      <w:r w:rsidR="003D4EF6">
        <w:rPr>
          <w:lang w:eastAsia="en-AU" w:bidi="ar-SA"/>
        </w:rPr>
        <w:t xml:space="preserve"> evidence of adverse effects of emulsifiers</w:t>
      </w:r>
      <w:r w:rsidR="005A1E7D">
        <w:rPr>
          <w:lang w:eastAsia="en-AU" w:bidi="ar-SA"/>
        </w:rPr>
        <w:t>, and specifically polysorbates</w:t>
      </w:r>
      <w:r w:rsidR="003D4EF6">
        <w:rPr>
          <w:lang w:eastAsia="en-AU" w:bidi="ar-SA"/>
        </w:rPr>
        <w:t xml:space="preserve"> in the</w:t>
      </w:r>
      <w:r w:rsidR="005A1E7D">
        <w:rPr>
          <w:lang w:eastAsia="en-AU" w:bidi="ar-SA"/>
        </w:rPr>
        <w:t xml:space="preserve"> diet. </w:t>
      </w:r>
    </w:p>
    <w:p w14:paraId="2D0BF99D" w14:textId="6B83D9FB" w:rsidR="002C1A3B" w:rsidRPr="00932F14" w:rsidRDefault="002C1A3B" w:rsidP="002C1A3B">
      <w:pPr>
        <w:pStyle w:val="Heading2"/>
      </w:pPr>
      <w:bookmarkStart w:id="57" w:name="_Toc521320620"/>
      <w:r>
        <w:t>2.2</w:t>
      </w:r>
      <w:r>
        <w:tab/>
      </w:r>
      <w:r w:rsidRPr="00932F14">
        <w:t xml:space="preserve">Risk </w:t>
      </w:r>
      <w:r>
        <w:t>a</w:t>
      </w:r>
      <w:r w:rsidRPr="00932F14">
        <w:t>ssessment</w:t>
      </w:r>
      <w:bookmarkEnd w:id="52"/>
      <w:bookmarkEnd w:id="53"/>
      <w:bookmarkEnd w:id="57"/>
      <w:r w:rsidRPr="00932F14">
        <w:t xml:space="preserve"> </w:t>
      </w:r>
    </w:p>
    <w:p w14:paraId="6E85C38E" w14:textId="77777777" w:rsidR="002B33FC" w:rsidRPr="007C09EA" w:rsidRDefault="002B33FC" w:rsidP="002B33FC">
      <w:bookmarkStart w:id="58" w:name="_Toc370223473"/>
      <w:bookmarkStart w:id="59" w:name="_Toc370225388"/>
      <w:bookmarkStart w:id="60" w:name="_Toc175381450"/>
      <w:bookmarkEnd w:id="54"/>
      <w:bookmarkEnd w:id="55"/>
      <w:r w:rsidRPr="007C09EA">
        <w:t>FSANZ conducted a risk assessment of polysorbate 20 as a food additive for use on processed meat products, and processed fish and fish products, (refer SD1). The conclusions of this assessment are provided below.</w:t>
      </w:r>
    </w:p>
    <w:p w14:paraId="1CAC0AA3" w14:textId="77777777" w:rsidR="002B33FC" w:rsidRPr="007C09EA" w:rsidRDefault="002B33FC" w:rsidP="002B33FC"/>
    <w:p w14:paraId="0F20BFFF" w14:textId="2C2B7CF4" w:rsidR="002B33FC" w:rsidRPr="007C09EA" w:rsidRDefault="002B33FC" w:rsidP="002B33FC">
      <w:r w:rsidRPr="007C09EA">
        <w:t xml:space="preserve">Polysorbate 20 is technologically justified for its proposed stated purpose as an emulsifier to surface treat processed meat products, and fish and fish products. The assessment </w:t>
      </w:r>
      <w:r w:rsidR="00515911" w:rsidRPr="007C09EA">
        <w:t>conclude</w:t>
      </w:r>
      <w:r w:rsidR="00515911">
        <w:t>d</w:t>
      </w:r>
      <w:r w:rsidR="00515911" w:rsidRPr="007C09EA">
        <w:t xml:space="preserve"> </w:t>
      </w:r>
      <w:r w:rsidRPr="007C09EA">
        <w:t xml:space="preserve">it is able to perform this function in the amounts and form proposed to be used, and it has proven advantages over other emulsifiers. There are internationally accepted specifications and analytical methods available to </w:t>
      </w:r>
      <w:r w:rsidR="00515911">
        <w:t>confirm</w:t>
      </w:r>
      <w:r w:rsidRPr="007C09EA">
        <w:t xml:space="preserve"> the levels of polysorbate 20 in treated food.</w:t>
      </w:r>
    </w:p>
    <w:p w14:paraId="767256A0" w14:textId="77777777" w:rsidR="002B33FC" w:rsidRPr="007C09EA" w:rsidRDefault="002B33FC" w:rsidP="002B33FC"/>
    <w:p w14:paraId="1B7232C9" w14:textId="3CF3B14E" w:rsidR="002B33FC" w:rsidRPr="007C09EA" w:rsidRDefault="002B33FC" w:rsidP="002B33FC">
      <w:r w:rsidRPr="007C09EA">
        <w:t xml:space="preserve">The submitted data, and information from other sources, are considered adequate to define the hazard of polysorbate 20. The available evidence shows that polysorbate 20 is not genotoxic. At the very high dose of 25% w/w in the diet, polysorbate 20 causes diarrhoea and associated weight loss and ill-health in laboratory rodents. However, these adverse effects would not be observed in humans since these levels are extremely high and not relevant to human consumption levels. There is no evidence that polysorbates are reproductive or developmental toxicants. Although clinical data on human tolerance are limited, polysorbates are widely used as emulsifiers in foods and pharmaceuticals internationally, and have not been associated with adverse effects in consumers. Polysorbates 60, 65 and 80 are already permitted in the Australia New Zealand Food Standards Code (the Code) at levels consistent with Good Manufacturing Practice (GMP). </w:t>
      </w:r>
    </w:p>
    <w:p w14:paraId="071309D6" w14:textId="77777777" w:rsidR="002B33FC" w:rsidRPr="007C09EA" w:rsidRDefault="002B33FC" w:rsidP="002B33FC"/>
    <w:p w14:paraId="006D0ECB" w14:textId="73717324" w:rsidR="002B33FC" w:rsidRPr="007C09EA" w:rsidRDefault="002B33FC" w:rsidP="002B33FC">
      <w:r w:rsidRPr="007C09EA">
        <w:t xml:space="preserve">Polysorbates 20, 40, 60, 65 and 80 are chemically very similar, are metabolised by the same pathways and have similar adverse effects in laboratory animals. The group ADI </w:t>
      </w:r>
      <w:r w:rsidR="00515911">
        <w:t>established</w:t>
      </w:r>
      <w:r w:rsidR="00515911" w:rsidRPr="007C09EA">
        <w:t xml:space="preserve"> </w:t>
      </w:r>
      <w:r w:rsidRPr="007C09EA">
        <w:t>by the Joint FAO/WHO Expert Committee on Food Additives (JECFA) in 1973 was based on chronic dietary studies of polysorbates 60, 65 and 80 in rats. A no observed adverse effect level (NOAEL) of 5% in the diet (equivalent to 2500 mg/kg bodyweight (bw)/day) was based on the occurrence of diarrhoea and associated weight loss and ill-health at the next highest dose of 10% (5000 mg/kg bw/day).</w:t>
      </w:r>
      <w:r w:rsidRPr="007C09EA" w:rsidDel="001449B8">
        <w:t xml:space="preserve"> </w:t>
      </w:r>
      <w:r w:rsidRPr="007C09EA">
        <w:t xml:space="preserve">From this NOAEL, JECFA </w:t>
      </w:r>
      <w:r w:rsidR="00515911">
        <w:t>established</w:t>
      </w:r>
      <w:r w:rsidR="00515911" w:rsidRPr="007C09EA">
        <w:t xml:space="preserve"> </w:t>
      </w:r>
      <w:r w:rsidRPr="007C09EA">
        <w:t xml:space="preserve">a group ADI for dietary polysorbates of 0-25 mg/kg bw/day. Results of a chronic dietary study of polysorbate 80 in rats, conducted by the National Toxicology Program (NTP) in 1992, </w:t>
      </w:r>
      <w:r w:rsidR="00515911">
        <w:t>confirmed</w:t>
      </w:r>
      <w:r w:rsidR="00515911" w:rsidRPr="007C09EA">
        <w:t xml:space="preserve"> </w:t>
      </w:r>
      <w:r w:rsidRPr="007C09EA">
        <w:t>the JECFA ADI, and FSANZ has found no evidence to suggest that the NOAEL for polysorbate 20 would be expected to be lower than those of the other polysorbates.</w:t>
      </w:r>
    </w:p>
    <w:p w14:paraId="72DD3020" w14:textId="77777777" w:rsidR="002B33FC" w:rsidRPr="007C09EA" w:rsidRDefault="002B33FC" w:rsidP="002B33FC"/>
    <w:p w14:paraId="2A8C262D" w14:textId="6E26F4D5" w:rsidR="002B33FC" w:rsidRPr="007C09EA" w:rsidRDefault="002B33FC" w:rsidP="002B33FC">
      <w:r w:rsidRPr="007C09EA">
        <w:t xml:space="preserve">Given that the group ADI is intended to cover dietary exposure to all polysorbates, FSANZ </w:t>
      </w:r>
      <w:r w:rsidRPr="007C09EA">
        <w:lastRenderedPageBreak/>
        <w:t xml:space="preserve">undertook a dietary exposure assessment for polysorbate 20 plus all other permitted polysorbates. FSANZ completed a refined estimate of dietary exposure to polysorbates based on </w:t>
      </w:r>
      <w:r w:rsidR="00515911">
        <w:t xml:space="preserve">current Australian and New Zealand </w:t>
      </w:r>
      <w:r w:rsidRPr="007C09EA">
        <w:t xml:space="preserve">industry use levels, as well as a scenario that included the additional proposed uses for polysorbates 20. </w:t>
      </w:r>
      <w:r w:rsidRPr="007C09EA">
        <w:rPr>
          <w:lang w:eastAsia="en-AU"/>
        </w:rPr>
        <w:t>The estimated refined baseline mean and 90</w:t>
      </w:r>
      <w:r w:rsidRPr="007C09EA">
        <w:rPr>
          <w:vertAlign w:val="superscript"/>
          <w:lang w:eastAsia="en-AU"/>
        </w:rPr>
        <w:t>th</w:t>
      </w:r>
      <w:r w:rsidRPr="007C09EA">
        <w:rPr>
          <w:lang w:eastAsia="en-AU"/>
        </w:rPr>
        <w:t xml:space="preserve"> percentile exposure to polysorbates expressed on a kilogram body weight basis ranged from 4.8–10.4 mg/kg bw/day and 10.7–23.7 mg/kg bw/day, respectively across all Australian and New Zealand population groups assessed. When </w:t>
      </w:r>
      <w:r w:rsidRPr="007C09EA">
        <w:rPr>
          <w:bCs/>
          <w:lang w:eastAsia="en-AU"/>
        </w:rPr>
        <w:t>meat and fish products containing polysorbate 20 at the amount requested by the applicant were included</w:t>
      </w:r>
      <w:r w:rsidRPr="007C09EA">
        <w:rPr>
          <w:lang w:eastAsia="en-AU"/>
        </w:rPr>
        <w:t xml:space="preserve">, the </w:t>
      </w:r>
      <w:r w:rsidRPr="007C09EA">
        <w:rPr>
          <w:bCs/>
          <w:lang w:eastAsia="en-AU"/>
        </w:rPr>
        <w:t xml:space="preserve">estimated total </w:t>
      </w:r>
      <w:r w:rsidRPr="007C09EA">
        <w:rPr>
          <w:lang w:eastAsia="en-AU"/>
        </w:rPr>
        <w:t>mean and 90</w:t>
      </w:r>
      <w:r w:rsidRPr="007C09EA">
        <w:rPr>
          <w:vertAlign w:val="superscript"/>
          <w:lang w:eastAsia="en-AU"/>
        </w:rPr>
        <w:t>th</w:t>
      </w:r>
      <w:r w:rsidRPr="007C09EA">
        <w:rPr>
          <w:lang w:eastAsia="en-AU"/>
        </w:rPr>
        <w:t xml:space="preserve"> percentile dietary </w:t>
      </w:r>
      <w:r w:rsidRPr="007C09EA">
        <w:rPr>
          <w:bCs/>
          <w:lang w:eastAsia="en-AU"/>
        </w:rPr>
        <w:t xml:space="preserve">exposures to polysorbates </w:t>
      </w:r>
      <w:r w:rsidRPr="007C09EA">
        <w:rPr>
          <w:lang w:eastAsia="en-AU"/>
        </w:rPr>
        <w:t>ranged from 5.0–10.8 mg/kg bw/day and 11.2–24.7 mg/kg bw/day, respectively.</w:t>
      </w:r>
      <w:r w:rsidRPr="007C09EA">
        <w:t xml:space="preserve"> The estimated </w:t>
      </w:r>
      <w:r w:rsidR="00C2311D">
        <w:t xml:space="preserve">chronic </w:t>
      </w:r>
      <w:r w:rsidRPr="007C09EA">
        <w:t xml:space="preserve">dietary exposure is </w:t>
      </w:r>
      <w:r w:rsidR="00DC2C68">
        <w:t xml:space="preserve">a </w:t>
      </w:r>
      <w:r w:rsidRPr="007C09EA">
        <w:t xml:space="preserve">conservative overestimate as it </w:t>
      </w:r>
      <w:r w:rsidR="00DC2C68">
        <w:t>is</w:t>
      </w:r>
      <w:r w:rsidRPr="007C09EA">
        <w:t xml:space="preserve"> unlikely that all foods within each permitted food category would contain polysorbates</w:t>
      </w:r>
      <w:r w:rsidR="00B54F18">
        <w:t>. In addition,</w:t>
      </w:r>
      <w:r w:rsidRPr="007C09EA">
        <w:t xml:space="preserve"> </w:t>
      </w:r>
      <w:r w:rsidR="00515911">
        <w:t xml:space="preserve">it </w:t>
      </w:r>
      <w:r w:rsidR="00B54F18">
        <w:t>is</w:t>
      </w:r>
      <w:r w:rsidR="00515911">
        <w:t xml:space="preserve"> </w:t>
      </w:r>
      <w:r w:rsidRPr="007C09EA">
        <w:t>unlikely that consumer</w:t>
      </w:r>
      <w:r w:rsidR="00B54F18">
        <w:t>s</w:t>
      </w:r>
      <w:r w:rsidRPr="007C09EA">
        <w:t xml:space="preserve"> will select all foods containing polysorbates on a given day. </w:t>
      </w:r>
    </w:p>
    <w:p w14:paraId="5DA1569A" w14:textId="77777777" w:rsidR="002B33FC" w:rsidRPr="007C09EA" w:rsidRDefault="002B33FC" w:rsidP="002B33FC"/>
    <w:p w14:paraId="11842C03" w14:textId="77777777" w:rsidR="002B33FC" w:rsidRPr="007C09EA" w:rsidRDefault="002B33FC" w:rsidP="002B33FC">
      <w:r w:rsidRPr="007C09EA">
        <w:t>Based on the review of the toxicological data, including consideration of reviews by other regulatory agencies, FSANZ concludes that it is appropriate to include polysorbate 20 in a group ADI for polysorbates, and that the group ADI established by JECFA in 1973 for polysorbates, 0-25 mg/kg bw/day, remains appropriate. The mean and 90</w:t>
      </w:r>
      <w:r w:rsidRPr="007C09EA">
        <w:rPr>
          <w:vertAlign w:val="superscript"/>
        </w:rPr>
        <w:t>th</w:t>
      </w:r>
      <w:r w:rsidRPr="007C09EA">
        <w:t xml:space="preserve"> percentile refined baseline exposure estimates of polysorbates already permitted in the Code were below the ADI of 25 mg/kg bw/day for all Australian and New Zealand population groups assessed. When the additional requested permissions of polysorbate 20 was applied, the mean and 90</w:t>
      </w:r>
      <w:r w:rsidRPr="007C09EA">
        <w:rPr>
          <w:vertAlign w:val="superscript"/>
        </w:rPr>
        <w:t>th</w:t>
      </w:r>
      <w:r w:rsidRPr="007C09EA">
        <w:t xml:space="preserve"> percentile exposures for all population groups assessed did not exceed the ADI.</w:t>
      </w:r>
    </w:p>
    <w:p w14:paraId="16992F4E" w14:textId="77777777" w:rsidR="002B33FC" w:rsidRPr="007C09EA" w:rsidRDefault="002B33FC" w:rsidP="002B33FC"/>
    <w:p w14:paraId="0DB8905E" w14:textId="11FCAA00" w:rsidR="002B33FC" w:rsidRPr="007C09EA" w:rsidRDefault="002B33FC" w:rsidP="002B33FC">
      <w:r w:rsidRPr="007C09EA">
        <w:t xml:space="preserve">Based on dietary exposure assessment, </w:t>
      </w:r>
      <w:r w:rsidR="00BC1F12" w:rsidRPr="007C09EA">
        <w:t>th</w:t>
      </w:r>
      <w:r w:rsidR="00BC1F12">
        <w:t>e</w:t>
      </w:r>
      <w:r w:rsidR="00BC1F12" w:rsidRPr="007C09EA">
        <w:t xml:space="preserve"> </w:t>
      </w:r>
      <w:r w:rsidRPr="007C09EA">
        <w:t>group ADI will not be exceeded by the addition of polysorbate 20 to the proposed food categories requested in addition to the permitted polysorbates in the Code.</w:t>
      </w:r>
    </w:p>
    <w:p w14:paraId="7C870F21" w14:textId="77777777" w:rsidR="002B33FC" w:rsidRPr="007C09EA" w:rsidRDefault="002B33FC" w:rsidP="002B33FC"/>
    <w:p w14:paraId="645C72E7" w14:textId="73042FCB" w:rsidR="002B33FC" w:rsidRPr="007C09EA" w:rsidRDefault="002B33FC" w:rsidP="002B33FC">
      <w:r w:rsidRPr="007C09EA">
        <w:t xml:space="preserve">On the basis of these considerations, the risk assessment concluded that there are no public health and safety concerns </w:t>
      </w:r>
      <w:r w:rsidR="00B54F18">
        <w:t>with</w:t>
      </w:r>
      <w:r w:rsidRPr="007C09EA">
        <w:t xml:space="preserve"> permitting polysorbate 20 as an emulsifier food additive for </w:t>
      </w:r>
      <w:r w:rsidRPr="007C09EA">
        <w:rPr>
          <w:lang w:val="en-AU" w:eastAsia="en-GB" w:bidi="ar-SA"/>
        </w:rPr>
        <w:t>processed meat and meat products, and processed fish and fish products.</w:t>
      </w:r>
    </w:p>
    <w:p w14:paraId="5A22E112" w14:textId="77777777" w:rsidR="002C1A3B" w:rsidRPr="007C09EA" w:rsidRDefault="002C1A3B" w:rsidP="002C1A3B">
      <w:pPr>
        <w:pStyle w:val="Heading2"/>
      </w:pPr>
      <w:bookmarkStart w:id="61" w:name="_Toc521320621"/>
      <w:r w:rsidRPr="007C09EA">
        <w:t>2.3</w:t>
      </w:r>
      <w:r w:rsidRPr="007C09EA">
        <w:tab/>
        <w:t>Risk management</w:t>
      </w:r>
      <w:bookmarkEnd w:id="58"/>
      <w:bookmarkEnd w:id="59"/>
      <w:bookmarkEnd w:id="61"/>
    </w:p>
    <w:p w14:paraId="6F4405FD" w14:textId="228C0ABF" w:rsidR="002B33FC" w:rsidRPr="007C09EA" w:rsidRDefault="002B33FC" w:rsidP="002B33FC">
      <w:bookmarkStart w:id="62" w:name="_Toc309291814"/>
      <w:bookmarkStart w:id="63" w:name="_Toc370225389"/>
      <w:bookmarkStart w:id="64" w:name="_Toc286391012"/>
      <w:bookmarkEnd w:id="60"/>
      <w:r w:rsidRPr="007C09EA">
        <w:rPr>
          <w:lang w:val="en-AU" w:eastAsia="en-GB" w:bidi="ar-SA"/>
        </w:rPr>
        <w:t xml:space="preserve">On the basis of the results of FSANZ’s risk assessment, it is appropriate to accept the applicant’s request to permit polysorbate 20 as a food additive emulsifier in processed meat and meat products, and processed fish and fish products. </w:t>
      </w:r>
    </w:p>
    <w:p w14:paraId="1FA6B8F1" w14:textId="7ACD77F1" w:rsidR="002B33FC" w:rsidRPr="007C09EA" w:rsidRDefault="002B33FC" w:rsidP="002B33FC">
      <w:pPr>
        <w:keepNext/>
        <w:spacing w:before="240" w:after="240"/>
        <w:ind w:left="851" w:hanging="851"/>
        <w:outlineLvl w:val="2"/>
        <w:rPr>
          <w:b/>
          <w:bCs/>
          <w:lang w:eastAsia="en-AU" w:bidi="ar-SA"/>
        </w:rPr>
      </w:pPr>
      <w:bookmarkStart w:id="65" w:name="_Toc516642379"/>
      <w:r w:rsidRPr="007C09EA">
        <w:rPr>
          <w:b/>
          <w:bCs/>
          <w:lang w:eastAsia="en-AU" w:bidi="ar-SA"/>
        </w:rPr>
        <w:t>2.3.1</w:t>
      </w:r>
      <w:r w:rsidRPr="007C09EA">
        <w:rPr>
          <w:b/>
          <w:bCs/>
          <w:lang w:eastAsia="en-AU" w:bidi="ar-SA"/>
        </w:rPr>
        <w:tab/>
        <w:t>Permissions for processed meat and processed fish products</w:t>
      </w:r>
      <w:bookmarkEnd w:id="65"/>
    </w:p>
    <w:p w14:paraId="5A11BD1B" w14:textId="77777777" w:rsidR="002B33FC" w:rsidRPr="007C09EA" w:rsidRDefault="002B33FC" w:rsidP="002B33FC">
      <w:pPr>
        <w:rPr>
          <w:lang w:eastAsia="en-AU" w:bidi="ar-SA"/>
        </w:rPr>
      </w:pPr>
      <w:r w:rsidRPr="007C09EA">
        <w:rPr>
          <w:lang w:eastAsia="en-AU" w:bidi="ar-SA"/>
        </w:rPr>
        <w:t>The application sought permission to use polysorbate 20 as a food additive in specific categories of food products listed in the table to section S15—5. These are summarised in Table 1. The requested Maximum Permitted Level (MPL) for each category is 500 mg/kg. However the applicant requested the food additive be permitted to be used at GMP comparable to permissions for polysorbate 60, 65 and 80 and, for that reason, asked that the substance be listed in section S16—2 as an additive permitted at GMP.</w:t>
      </w:r>
    </w:p>
    <w:p w14:paraId="7590A08D" w14:textId="77777777" w:rsidR="002B33FC" w:rsidRPr="007C09EA" w:rsidRDefault="002B33FC" w:rsidP="002B33FC">
      <w:pPr>
        <w:rPr>
          <w:lang w:eastAsia="en-AU" w:bidi="ar-SA"/>
        </w:rPr>
      </w:pPr>
    </w:p>
    <w:p w14:paraId="486C4911" w14:textId="77777777" w:rsidR="002B33FC" w:rsidRPr="007C09EA" w:rsidRDefault="002B33FC" w:rsidP="002B33FC">
      <w:pPr>
        <w:ind w:left="1134" w:hanging="1134"/>
        <w:rPr>
          <w:rFonts w:eastAsiaTheme="majorEastAsia" w:cs="Arial"/>
          <w:b/>
          <w:i/>
          <w:lang w:bidi="ar-SA"/>
        </w:rPr>
      </w:pPr>
      <w:r w:rsidRPr="007C09EA">
        <w:rPr>
          <w:rFonts w:eastAsiaTheme="majorEastAsia" w:cs="Arial"/>
          <w:b/>
          <w:i/>
          <w:lang w:bidi="ar-SA"/>
        </w:rPr>
        <w:t>Table 1:</w:t>
      </w:r>
      <w:r w:rsidRPr="007C09EA">
        <w:rPr>
          <w:rFonts w:eastAsiaTheme="majorEastAsia" w:cs="Arial"/>
          <w:b/>
          <w:i/>
          <w:lang w:bidi="ar-SA"/>
        </w:rPr>
        <w:tab/>
        <w:t xml:space="preserve">Food categories for which applicant is seeking permission for polysorbate 20, including Maximum Permitted Level (MPL) </w:t>
      </w:r>
    </w:p>
    <w:p w14:paraId="7D3BF726" w14:textId="77777777" w:rsidR="002B33FC" w:rsidRPr="007C09EA" w:rsidRDefault="002B33FC" w:rsidP="002B33FC">
      <w:pPr>
        <w:rPr>
          <w:lang w:eastAsia="en-AU" w:bidi="ar-SA"/>
        </w:rPr>
      </w:pPr>
    </w:p>
    <w:tbl>
      <w:tblPr>
        <w:tblStyle w:val="ListTable4"/>
        <w:tblW w:w="0" w:type="auto"/>
        <w:tblBorders>
          <w:top w:val="none" w:sz="0" w:space="0" w:color="auto"/>
          <w:left w:val="none" w:sz="0" w:space="0" w:color="auto"/>
          <w:bottom w:val="single" w:sz="4" w:space="0" w:color="ECECEC"/>
          <w:right w:val="none" w:sz="0" w:space="0" w:color="auto"/>
          <w:insideH w:val="none" w:sz="0" w:space="0" w:color="auto"/>
        </w:tblBorders>
        <w:tblLook w:val="04A0" w:firstRow="1" w:lastRow="0" w:firstColumn="1" w:lastColumn="0" w:noHBand="0" w:noVBand="1"/>
      </w:tblPr>
      <w:tblGrid>
        <w:gridCol w:w="2056"/>
        <w:gridCol w:w="5379"/>
        <w:gridCol w:w="1635"/>
      </w:tblGrid>
      <w:tr w:rsidR="002B33FC" w:rsidRPr="007C09EA" w14:paraId="6E161E3D" w14:textId="77777777" w:rsidTr="002B33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616571"/>
          </w:tcPr>
          <w:p w14:paraId="0085752E" w14:textId="77777777" w:rsidR="002B33FC" w:rsidRPr="007C09EA" w:rsidRDefault="002B33FC" w:rsidP="002B33FC">
            <w:pPr>
              <w:rPr>
                <w:color w:val="auto"/>
                <w:sz w:val="20"/>
                <w:szCs w:val="20"/>
                <w:lang w:eastAsia="en-AU" w:bidi="ar-SA"/>
              </w:rPr>
            </w:pPr>
            <w:r w:rsidRPr="007C09EA">
              <w:rPr>
                <w:color w:val="auto"/>
                <w:sz w:val="20"/>
                <w:szCs w:val="20"/>
                <w:lang w:eastAsia="en-AU" w:bidi="ar-SA"/>
              </w:rPr>
              <w:t>Food category</w:t>
            </w:r>
          </w:p>
        </w:tc>
        <w:tc>
          <w:tcPr>
            <w:tcW w:w="5528" w:type="dxa"/>
            <w:shd w:val="clear" w:color="auto" w:fill="616571"/>
          </w:tcPr>
          <w:p w14:paraId="1AED094E" w14:textId="77777777" w:rsidR="002B33FC" w:rsidRPr="007C09EA" w:rsidRDefault="002B33FC" w:rsidP="002B33FC">
            <w:pPr>
              <w:cnfStyle w:val="100000000000" w:firstRow="1" w:lastRow="0" w:firstColumn="0" w:lastColumn="0" w:oddVBand="0" w:evenVBand="0" w:oddHBand="0" w:evenHBand="0" w:firstRowFirstColumn="0" w:firstRowLastColumn="0" w:lastRowFirstColumn="0" w:lastRowLastColumn="0"/>
              <w:rPr>
                <w:color w:val="auto"/>
                <w:sz w:val="20"/>
                <w:szCs w:val="20"/>
                <w:lang w:eastAsia="en-AU" w:bidi="ar-SA"/>
              </w:rPr>
            </w:pPr>
            <w:r w:rsidRPr="007C09EA">
              <w:rPr>
                <w:color w:val="auto"/>
                <w:sz w:val="20"/>
                <w:szCs w:val="20"/>
                <w:lang w:eastAsia="en-AU" w:bidi="ar-SA"/>
              </w:rPr>
              <w:t>Food category description</w:t>
            </w:r>
          </w:p>
        </w:tc>
        <w:tc>
          <w:tcPr>
            <w:tcW w:w="1665" w:type="dxa"/>
            <w:shd w:val="clear" w:color="auto" w:fill="616571"/>
          </w:tcPr>
          <w:p w14:paraId="128AB388" w14:textId="77777777" w:rsidR="002B33FC" w:rsidRPr="007C09EA" w:rsidRDefault="002B33FC" w:rsidP="002B33FC">
            <w:pPr>
              <w:cnfStyle w:val="100000000000" w:firstRow="1" w:lastRow="0" w:firstColumn="0" w:lastColumn="0" w:oddVBand="0" w:evenVBand="0" w:oddHBand="0" w:evenHBand="0" w:firstRowFirstColumn="0" w:firstRowLastColumn="0" w:lastRowFirstColumn="0" w:lastRowLastColumn="0"/>
              <w:rPr>
                <w:color w:val="auto"/>
                <w:sz w:val="20"/>
                <w:szCs w:val="20"/>
                <w:lang w:eastAsia="en-AU" w:bidi="ar-SA"/>
              </w:rPr>
            </w:pPr>
            <w:r w:rsidRPr="007C09EA">
              <w:rPr>
                <w:color w:val="auto"/>
                <w:sz w:val="20"/>
                <w:szCs w:val="20"/>
                <w:lang w:eastAsia="en-AU" w:bidi="ar-SA"/>
              </w:rPr>
              <w:t>MPL mg/kg</w:t>
            </w:r>
          </w:p>
        </w:tc>
      </w:tr>
      <w:tr w:rsidR="002B33FC" w:rsidRPr="007C09EA" w14:paraId="0AC6B547" w14:textId="77777777" w:rsidTr="002B3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ECECEC"/>
          </w:tcPr>
          <w:p w14:paraId="61930AB3" w14:textId="77777777" w:rsidR="002B33FC" w:rsidRPr="007C09EA" w:rsidRDefault="002B33FC" w:rsidP="002B33FC">
            <w:pPr>
              <w:rPr>
                <w:sz w:val="20"/>
                <w:szCs w:val="20"/>
                <w:lang w:eastAsia="en-AU" w:bidi="ar-SA"/>
              </w:rPr>
            </w:pPr>
            <w:r w:rsidRPr="007C09EA">
              <w:rPr>
                <w:sz w:val="20"/>
                <w:szCs w:val="20"/>
                <w:lang w:eastAsia="en-AU" w:bidi="ar-SA"/>
              </w:rPr>
              <w:t>8.2</w:t>
            </w:r>
          </w:p>
        </w:tc>
        <w:tc>
          <w:tcPr>
            <w:tcW w:w="5528" w:type="dxa"/>
            <w:shd w:val="clear" w:color="auto" w:fill="ECECEC"/>
          </w:tcPr>
          <w:p w14:paraId="610E52E9" w14:textId="77777777" w:rsidR="002B33FC" w:rsidRPr="007C09EA" w:rsidRDefault="002B33FC" w:rsidP="002B33FC">
            <w:pPr>
              <w:cnfStyle w:val="000000100000" w:firstRow="0" w:lastRow="0" w:firstColumn="0" w:lastColumn="0" w:oddVBand="0" w:evenVBand="0" w:oddHBand="1" w:evenHBand="0" w:firstRowFirstColumn="0" w:firstRowLastColumn="0" w:lastRowFirstColumn="0" w:lastRowLastColumn="0"/>
              <w:rPr>
                <w:sz w:val="20"/>
                <w:szCs w:val="20"/>
                <w:lang w:eastAsia="en-AU" w:bidi="ar-SA"/>
              </w:rPr>
            </w:pPr>
            <w:r w:rsidRPr="007C09EA">
              <w:rPr>
                <w:sz w:val="20"/>
                <w:szCs w:val="20"/>
                <w:lang w:eastAsia="en-AU" w:bidi="ar-SA"/>
              </w:rPr>
              <w:t>Processed meat, poultry and game products in whole cuts or pieces</w:t>
            </w:r>
          </w:p>
        </w:tc>
        <w:tc>
          <w:tcPr>
            <w:tcW w:w="1665" w:type="dxa"/>
            <w:shd w:val="clear" w:color="auto" w:fill="ECECEC"/>
          </w:tcPr>
          <w:p w14:paraId="7D8FA555" w14:textId="77777777" w:rsidR="002B33FC" w:rsidRPr="007C09EA" w:rsidRDefault="002B33FC" w:rsidP="002B33FC">
            <w:pPr>
              <w:cnfStyle w:val="000000100000" w:firstRow="0" w:lastRow="0" w:firstColumn="0" w:lastColumn="0" w:oddVBand="0" w:evenVBand="0" w:oddHBand="1" w:evenHBand="0" w:firstRowFirstColumn="0" w:firstRowLastColumn="0" w:lastRowFirstColumn="0" w:lastRowLastColumn="0"/>
              <w:rPr>
                <w:sz w:val="20"/>
                <w:szCs w:val="20"/>
                <w:lang w:eastAsia="en-AU" w:bidi="ar-SA"/>
              </w:rPr>
            </w:pPr>
            <w:r w:rsidRPr="007C09EA">
              <w:rPr>
                <w:sz w:val="20"/>
                <w:szCs w:val="20"/>
                <w:lang w:eastAsia="en-AU" w:bidi="ar-SA"/>
              </w:rPr>
              <w:t>500</w:t>
            </w:r>
          </w:p>
        </w:tc>
      </w:tr>
      <w:tr w:rsidR="002B33FC" w:rsidRPr="007C09EA" w14:paraId="214FF479" w14:textId="77777777" w:rsidTr="002B33FC">
        <w:tc>
          <w:tcPr>
            <w:cnfStyle w:val="001000000000" w:firstRow="0" w:lastRow="0" w:firstColumn="1" w:lastColumn="0" w:oddVBand="0" w:evenVBand="0" w:oddHBand="0" w:evenHBand="0" w:firstRowFirstColumn="0" w:firstRowLastColumn="0" w:lastRowFirstColumn="0" w:lastRowLastColumn="0"/>
            <w:tcW w:w="2093" w:type="dxa"/>
          </w:tcPr>
          <w:p w14:paraId="042520F7" w14:textId="77777777" w:rsidR="002B33FC" w:rsidRPr="007C09EA" w:rsidRDefault="002B33FC" w:rsidP="002B33FC">
            <w:pPr>
              <w:rPr>
                <w:sz w:val="20"/>
                <w:szCs w:val="20"/>
                <w:lang w:eastAsia="en-AU" w:bidi="ar-SA"/>
              </w:rPr>
            </w:pPr>
            <w:r w:rsidRPr="007C09EA">
              <w:rPr>
                <w:sz w:val="20"/>
                <w:szCs w:val="20"/>
                <w:lang w:eastAsia="en-AU" w:bidi="ar-SA"/>
              </w:rPr>
              <w:t>8.3</w:t>
            </w:r>
          </w:p>
        </w:tc>
        <w:tc>
          <w:tcPr>
            <w:tcW w:w="5528" w:type="dxa"/>
          </w:tcPr>
          <w:p w14:paraId="1F6E51BD" w14:textId="77777777" w:rsidR="002B33FC" w:rsidRPr="007C09EA" w:rsidRDefault="002B33FC" w:rsidP="002B33FC">
            <w:pPr>
              <w:cnfStyle w:val="000000000000" w:firstRow="0" w:lastRow="0" w:firstColumn="0" w:lastColumn="0" w:oddVBand="0" w:evenVBand="0" w:oddHBand="0" w:evenHBand="0" w:firstRowFirstColumn="0" w:firstRowLastColumn="0" w:lastRowFirstColumn="0" w:lastRowLastColumn="0"/>
              <w:rPr>
                <w:sz w:val="20"/>
                <w:szCs w:val="20"/>
                <w:lang w:eastAsia="en-AU" w:bidi="ar-SA"/>
              </w:rPr>
            </w:pPr>
            <w:r w:rsidRPr="007C09EA">
              <w:rPr>
                <w:sz w:val="20"/>
                <w:szCs w:val="20"/>
                <w:lang w:eastAsia="en-AU" w:bidi="ar-SA"/>
              </w:rPr>
              <w:t>Processed comminuted meat, poultry and game products</w:t>
            </w:r>
          </w:p>
        </w:tc>
        <w:tc>
          <w:tcPr>
            <w:tcW w:w="1665" w:type="dxa"/>
          </w:tcPr>
          <w:p w14:paraId="6642875D" w14:textId="77777777" w:rsidR="002B33FC" w:rsidRPr="007C09EA" w:rsidRDefault="002B33FC" w:rsidP="002B33FC">
            <w:pPr>
              <w:cnfStyle w:val="000000000000" w:firstRow="0" w:lastRow="0" w:firstColumn="0" w:lastColumn="0" w:oddVBand="0" w:evenVBand="0" w:oddHBand="0" w:evenHBand="0" w:firstRowFirstColumn="0" w:firstRowLastColumn="0" w:lastRowFirstColumn="0" w:lastRowLastColumn="0"/>
              <w:rPr>
                <w:sz w:val="20"/>
                <w:szCs w:val="20"/>
                <w:lang w:eastAsia="en-AU" w:bidi="ar-SA"/>
              </w:rPr>
            </w:pPr>
            <w:r w:rsidRPr="007C09EA">
              <w:rPr>
                <w:sz w:val="20"/>
                <w:szCs w:val="20"/>
                <w:lang w:eastAsia="en-AU" w:bidi="ar-SA"/>
              </w:rPr>
              <w:t>500</w:t>
            </w:r>
          </w:p>
        </w:tc>
      </w:tr>
      <w:tr w:rsidR="002B33FC" w:rsidRPr="007C09EA" w14:paraId="5612D125" w14:textId="77777777" w:rsidTr="002B3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ECECEC"/>
          </w:tcPr>
          <w:p w14:paraId="136278D6" w14:textId="77777777" w:rsidR="002B33FC" w:rsidRPr="007C09EA" w:rsidRDefault="002B33FC" w:rsidP="002B33FC">
            <w:pPr>
              <w:rPr>
                <w:sz w:val="20"/>
                <w:szCs w:val="20"/>
                <w:lang w:eastAsia="en-AU" w:bidi="ar-SA"/>
              </w:rPr>
            </w:pPr>
            <w:r w:rsidRPr="007C09EA">
              <w:rPr>
                <w:sz w:val="20"/>
                <w:szCs w:val="20"/>
                <w:lang w:eastAsia="en-AU" w:bidi="ar-SA"/>
              </w:rPr>
              <w:t>9.2</w:t>
            </w:r>
          </w:p>
        </w:tc>
        <w:tc>
          <w:tcPr>
            <w:tcW w:w="5528" w:type="dxa"/>
            <w:shd w:val="clear" w:color="auto" w:fill="ECECEC"/>
          </w:tcPr>
          <w:p w14:paraId="43C26A08" w14:textId="77777777" w:rsidR="002B33FC" w:rsidRPr="007C09EA" w:rsidRDefault="002B33FC" w:rsidP="002B33FC">
            <w:pPr>
              <w:cnfStyle w:val="000000100000" w:firstRow="0" w:lastRow="0" w:firstColumn="0" w:lastColumn="0" w:oddVBand="0" w:evenVBand="0" w:oddHBand="1" w:evenHBand="0" w:firstRowFirstColumn="0" w:firstRowLastColumn="0" w:lastRowFirstColumn="0" w:lastRowLastColumn="0"/>
              <w:rPr>
                <w:sz w:val="20"/>
                <w:szCs w:val="20"/>
                <w:lang w:eastAsia="en-AU" w:bidi="ar-SA"/>
              </w:rPr>
            </w:pPr>
            <w:r w:rsidRPr="007C09EA">
              <w:rPr>
                <w:sz w:val="20"/>
                <w:szCs w:val="20"/>
                <w:lang w:eastAsia="en-AU" w:bidi="ar-SA"/>
              </w:rPr>
              <w:t>Processed fish and fish products</w:t>
            </w:r>
          </w:p>
        </w:tc>
        <w:tc>
          <w:tcPr>
            <w:tcW w:w="1665" w:type="dxa"/>
            <w:shd w:val="clear" w:color="auto" w:fill="ECECEC"/>
          </w:tcPr>
          <w:p w14:paraId="146A88E7" w14:textId="77777777" w:rsidR="002B33FC" w:rsidRPr="007C09EA" w:rsidRDefault="002B33FC" w:rsidP="002B33FC">
            <w:pPr>
              <w:cnfStyle w:val="000000100000" w:firstRow="0" w:lastRow="0" w:firstColumn="0" w:lastColumn="0" w:oddVBand="0" w:evenVBand="0" w:oddHBand="1" w:evenHBand="0" w:firstRowFirstColumn="0" w:firstRowLastColumn="0" w:lastRowFirstColumn="0" w:lastRowLastColumn="0"/>
              <w:rPr>
                <w:sz w:val="20"/>
                <w:szCs w:val="20"/>
                <w:lang w:eastAsia="en-AU" w:bidi="ar-SA"/>
              </w:rPr>
            </w:pPr>
            <w:r w:rsidRPr="007C09EA">
              <w:rPr>
                <w:sz w:val="20"/>
                <w:szCs w:val="20"/>
                <w:lang w:eastAsia="en-AU" w:bidi="ar-SA"/>
              </w:rPr>
              <w:t>500</w:t>
            </w:r>
          </w:p>
        </w:tc>
      </w:tr>
    </w:tbl>
    <w:p w14:paraId="2AEE605E" w14:textId="77777777" w:rsidR="002B33FC" w:rsidRPr="007C09EA" w:rsidRDefault="002B33FC" w:rsidP="002B33FC">
      <w:pPr>
        <w:rPr>
          <w:lang w:eastAsia="en-AU" w:bidi="ar-SA"/>
        </w:rPr>
      </w:pPr>
    </w:p>
    <w:p w14:paraId="15F3CD85" w14:textId="77777777" w:rsidR="002B33FC" w:rsidRPr="007C09EA" w:rsidRDefault="002B33FC" w:rsidP="002B33FC">
      <w:pPr>
        <w:rPr>
          <w:rFonts w:eastAsiaTheme="minorHAnsi" w:cstheme="minorBidi"/>
          <w:szCs w:val="22"/>
          <w:lang w:bidi="ar-SA"/>
        </w:rPr>
      </w:pPr>
      <w:r w:rsidRPr="007C09EA">
        <w:rPr>
          <w:lang w:eastAsia="en-AU" w:bidi="ar-SA"/>
        </w:rPr>
        <w:lastRenderedPageBreak/>
        <w:t xml:space="preserve">FSANZ’s Food Technology assessment (sections 2.1.3 and 2.1.4 of SD1) confirmed the </w:t>
      </w:r>
      <w:r w:rsidRPr="007C09EA">
        <w:rPr>
          <w:rFonts w:eastAsiaTheme="minorHAnsi" w:cstheme="minorBidi"/>
          <w:szCs w:val="22"/>
          <w:lang w:bidi="ar-SA"/>
        </w:rPr>
        <w:t xml:space="preserve">claimed benefit of the application that polysorbate 20 used as an emulsifier in the amounts and form proposed in conjunction with various plant based extracts containing active antimicrobials provides antimicrobial activity and concomitant shelf-life improvement. It is therefore appropriate to permit polysorbate 20 as a food additive for the food categories 8.2, 8.3 and 9.2 with the MPL at 500 mg/kg in the table to section S15—5. It is not appropriate to add polysorbate 20 as a GMP food additive to the tables to section S16—2 since an ADI has been established for the polysorbate food additive family and the dietary exposure assessment has indicated that exposure to the food additives for high consumers of some sub-populations is close to the ADI. </w:t>
      </w:r>
    </w:p>
    <w:p w14:paraId="7A7FFD20" w14:textId="46A8AF61" w:rsidR="002B33FC" w:rsidRPr="007C09EA" w:rsidRDefault="002B33FC" w:rsidP="002B33FC">
      <w:pPr>
        <w:keepNext/>
        <w:spacing w:before="240" w:after="240"/>
        <w:ind w:left="851" w:hanging="851"/>
        <w:outlineLvl w:val="2"/>
        <w:rPr>
          <w:b/>
          <w:bCs/>
          <w:lang w:eastAsia="en-AU" w:bidi="ar-SA"/>
        </w:rPr>
      </w:pPr>
      <w:bookmarkStart w:id="66" w:name="_Toc516642380"/>
      <w:r w:rsidRPr="007C09EA">
        <w:rPr>
          <w:b/>
          <w:bCs/>
          <w:lang w:eastAsia="en-AU" w:bidi="ar-SA"/>
        </w:rPr>
        <w:t>2.3.2</w:t>
      </w:r>
      <w:r w:rsidRPr="007C09EA">
        <w:rPr>
          <w:b/>
          <w:bCs/>
          <w:lang w:eastAsia="en-AU" w:bidi="ar-SA"/>
        </w:rPr>
        <w:tab/>
        <w:t>Labelling considerations</w:t>
      </w:r>
      <w:bookmarkEnd w:id="66"/>
    </w:p>
    <w:p w14:paraId="1B1E9CDA" w14:textId="29A1220C" w:rsidR="002B33FC" w:rsidRPr="007C09EA" w:rsidRDefault="002B33FC" w:rsidP="002B33FC">
      <w:r w:rsidRPr="007C09EA">
        <w:t>Section 1.2.4—7 in Standard 1.2.4 requires substances used as food additives to be declared in the statement of ingredients on the label of most packaged foods. This can occur in either of two ways:</w:t>
      </w:r>
    </w:p>
    <w:p w14:paraId="00742427" w14:textId="77777777" w:rsidR="002B33FC" w:rsidRPr="007C09EA" w:rsidRDefault="002B33FC" w:rsidP="002B33FC"/>
    <w:p w14:paraId="029B8E31" w14:textId="2210A7B3" w:rsidR="002B33FC" w:rsidRPr="007C09EA" w:rsidRDefault="0086623B" w:rsidP="00C35D2F">
      <w:pPr>
        <w:pStyle w:val="FSBullet1"/>
      </w:pPr>
      <w:r w:rsidRPr="007C09EA">
        <w:t xml:space="preserve">If </w:t>
      </w:r>
      <w:r w:rsidR="002B33FC" w:rsidRPr="007C09EA">
        <w:t>the substance can be classified into a class of additives listed in Schedule 7 then:</w:t>
      </w:r>
    </w:p>
    <w:p w14:paraId="24AA8CC0" w14:textId="3B728DB9" w:rsidR="002B33FC" w:rsidRPr="007C09EA" w:rsidRDefault="002B33FC" w:rsidP="00C35D2F">
      <w:pPr>
        <w:pStyle w:val="FSBullet2"/>
      </w:pPr>
      <w:r w:rsidRPr="007C09EA">
        <w:t xml:space="preserve">the class name </w:t>
      </w:r>
      <w:r w:rsidR="0086623B" w:rsidRPr="007C09EA">
        <w:t xml:space="preserve">is </w:t>
      </w:r>
      <w:r w:rsidRPr="007C09EA">
        <w:t>to be declared (e.g. ‘emulsifier’) as indicated in Schedule 7</w:t>
      </w:r>
      <w:r w:rsidR="0086623B" w:rsidRPr="007C09EA">
        <w:t>,</w:t>
      </w:r>
      <w:r w:rsidRPr="007C09EA">
        <w:t xml:space="preserve"> </w:t>
      </w:r>
    </w:p>
    <w:p w14:paraId="3DE66166" w14:textId="77777777" w:rsidR="002B33FC" w:rsidRPr="007C09EA" w:rsidRDefault="002B33FC" w:rsidP="00C35D2F">
      <w:pPr>
        <w:pStyle w:val="FSBullet2"/>
      </w:pPr>
      <w:r w:rsidRPr="007C09EA">
        <w:t>followed in brackets by the name or code number of the substance as indicated in Schedule 8 – Food additive names and code numbers (for statement of ingredients).</w:t>
      </w:r>
    </w:p>
    <w:p w14:paraId="4A3367B9" w14:textId="77777777" w:rsidR="002B33FC" w:rsidRPr="007C09EA" w:rsidRDefault="002B33FC" w:rsidP="002B33FC">
      <w:pPr>
        <w:widowControl/>
        <w:ind w:left="567" w:hanging="567"/>
      </w:pPr>
    </w:p>
    <w:p w14:paraId="311F0850" w14:textId="77777777" w:rsidR="002B33FC" w:rsidRPr="007C09EA" w:rsidRDefault="002B33FC" w:rsidP="00C35D2F">
      <w:pPr>
        <w:pStyle w:val="FSBullet1"/>
      </w:pPr>
      <w:r w:rsidRPr="007C09EA">
        <w:t xml:space="preserve">Otherwise, the name of the substance as indicated in Schedule 8 is to be declared. </w:t>
      </w:r>
    </w:p>
    <w:p w14:paraId="0E8EB251" w14:textId="77777777" w:rsidR="002B33FC" w:rsidRPr="007C09EA" w:rsidRDefault="002B33FC" w:rsidP="002B33FC">
      <w:pPr>
        <w:widowControl/>
        <w:rPr>
          <w:rFonts w:cs="Arial"/>
          <w:lang w:bidi="ar-SA"/>
        </w:rPr>
      </w:pPr>
    </w:p>
    <w:p w14:paraId="135B8B52" w14:textId="77777777" w:rsidR="002B33FC" w:rsidRPr="007C09EA" w:rsidRDefault="002B33FC" w:rsidP="002B33FC">
      <w:pPr>
        <w:widowControl/>
        <w:rPr>
          <w:rFonts w:cs="Arial"/>
          <w:lang w:bidi="ar-SA"/>
        </w:rPr>
      </w:pPr>
      <w:r w:rsidRPr="007C09EA">
        <w:rPr>
          <w:rFonts w:cs="Arial"/>
          <w:lang w:bidi="ar-SA"/>
        </w:rPr>
        <w:t xml:space="preserve">These labelling provisions will apply to the use of polysorbate 20 in processed meat products and processed fish and fish products, allowing consumers to identify whether this food additive is present in the food. </w:t>
      </w:r>
    </w:p>
    <w:p w14:paraId="39FC7D9D" w14:textId="77777777" w:rsidR="002B33FC" w:rsidRPr="007C09EA" w:rsidRDefault="002B33FC" w:rsidP="002B33FC"/>
    <w:p w14:paraId="266BCC0D" w14:textId="77777777" w:rsidR="002B33FC" w:rsidRPr="007C09EA" w:rsidRDefault="002B33FC" w:rsidP="002B33FC">
      <w:pPr>
        <w:tabs>
          <w:tab w:val="left" w:pos="1701"/>
        </w:tabs>
        <w:rPr>
          <w:rFonts w:cs="Arial"/>
          <w:iCs/>
          <w:szCs w:val="22"/>
          <w:lang w:eastAsia="en-AU" w:bidi="ar-SA"/>
        </w:rPr>
      </w:pPr>
      <w:r w:rsidRPr="007C09EA">
        <w:rPr>
          <w:rFonts w:cs="Arial"/>
          <w:iCs/>
          <w:szCs w:val="22"/>
          <w:lang w:eastAsia="en-AU" w:bidi="ar-SA"/>
        </w:rPr>
        <w:t xml:space="preserve">There are some exemptions to the above requirements for foods for sale that are not required to bear a label. These exemptions are set out in section 1.2.1—6 in Standard 1.2.1, and include a food that is made and packaged on the premises from which it is sold, or is packaged in the presence of the purchaser, or is delivered packaged, and ready for consumption, at the express order of the purchaser. </w:t>
      </w:r>
    </w:p>
    <w:p w14:paraId="107FC44D" w14:textId="77777777" w:rsidR="002B33FC" w:rsidRPr="007C09EA" w:rsidRDefault="002B33FC" w:rsidP="002B33FC">
      <w:pPr>
        <w:tabs>
          <w:tab w:val="left" w:pos="1701"/>
        </w:tabs>
        <w:ind w:left="2268" w:hanging="2268"/>
        <w:rPr>
          <w:rFonts w:cs="Arial"/>
          <w:iCs/>
          <w:szCs w:val="22"/>
          <w:lang w:eastAsia="en-AU" w:bidi="ar-SA"/>
        </w:rPr>
      </w:pPr>
    </w:p>
    <w:p w14:paraId="109A6C95" w14:textId="77777777" w:rsidR="002B33FC" w:rsidRPr="007C09EA" w:rsidRDefault="002B33FC" w:rsidP="002B33FC">
      <w:pPr>
        <w:tabs>
          <w:tab w:val="left" w:pos="1701"/>
        </w:tabs>
        <w:rPr>
          <w:rFonts w:cs="Arial"/>
          <w:iCs/>
          <w:szCs w:val="22"/>
          <w:lang w:eastAsia="en-AU" w:bidi="ar-SA"/>
        </w:rPr>
      </w:pPr>
      <w:r w:rsidRPr="007C09EA">
        <w:rPr>
          <w:rFonts w:cs="Arial"/>
          <w:iCs/>
          <w:szCs w:val="22"/>
          <w:lang w:eastAsia="en-AU" w:bidi="ar-SA"/>
        </w:rPr>
        <w:t>All of the above labelling requirements and exemptions apply in the same manner to the use of polysorbates 60, 65 and 80.</w:t>
      </w:r>
    </w:p>
    <w:p w14:paraId="0F4442DC" w14:textId="75AE1D71" w:rsidR="002B33FC" w:rsidRPr="007C09EA" w:rsidRDefault="002B33FC" w:rsidP="002B33FC">
      <w:pPr>
        <w:keepNext/>
        <w:spacing w:before="240" w:after="240"/>
        <w:ind w:left="851" w:hanging="851"/>
        <w:outlineLvl w:val="2"/>
        <w:rPr>
          <w:b/>
          <w:bCs/>
          <w:lang w:eastAsia="en-AU" w:bidi="ar-SA"/>
        </w:rPr>
      </w:pPr>
      <w:bookmarkStart w:id="67" w:name="_Toc516642381"/>
      <w:r w:rsidRPr="007C09EA">
        <w:rPr>
          <w:b/>
          <w:bCs/>
          <w:lang w:eastAsia="en-AU" w:bidi="ar-SA"/>
        </w:rPr>
        <w:t>2.3.3</w:t>
      </w:r>
      <w:r w:rsidRPr="007C09EA">
        <w:rPr>
          <w:b/>
          <w:bCs/>
          <w:lang w:eastAsia="en-AU" w:bidi="ar-SA"/>
        </w:rPr>
        <w:tab/>
        <w:t>Specifications</w:t>
      </w:r>
      <w:bookmarkEnd w:id="67"/>
    </w:p>
    <w:p w14:paraId="48C5A446" w14:textId="2D2FA322" w:rsidR="002B33FC" w:rsidRPr="007C09EA" w:rsidRDefault="00015E0F" w:rsidP="002B33FC">
      <w:pPr>
        <w:rPr>
          <w:lang w:eastAsia="en-AU" w:bidi="ar-SA"/>
        </w:rPr>
      </w:pPr>
      <w:r w:rsidRPr="007C09EA">
        <w:rPr>
          <w:lang w:eastAsia="en-AU" w:bidi="ar-SA"/>
        </w:rPr>
        <w:t xml:space="preserve">Paragraph 1.1.1—15(1)(a) of Standard 1.1.1 </w:t>
      </w:r>
      <w:r w:rsidR="002B33FC" w:rsidRPr="007C09EA">
        <w:rPr>
          <w:lang w:eastAsia="en-AU" w:bidi="ar-SA"/>
        </w:rPr>
        <w:t xml:space="preserve">requires that permitted food additives comply with a </w:t>
      </w:r>
      <w:r w:rsidRPr="007C09EA">
        <w:rPr>
          <w:lang w:eastAsia="en-AU" w:bidi="ar-SA"/>
        </w:rPr>
        <w:t xml:space="preserve">relevant </w:t>
      </w:r>
      <w:r w:rsidR="002B33FC" w:rsidRPr="007C09EA">
        <w:rPr>
          <w:lang w:eastAsia="en-AU" w:bidi="ar-SA"/>
        </w:rPr>
        <w:t xml:space="preserve">specification </w:t>
      </w:r>
      <w:r w:rsidR="0067510B" w:rsidRPr="007C09EA">
        <w:rPr>
          <w:lang w:eastAsia="en-AU" w:bidi="ar-SA"/>
        </w:rPr>
        <w:t>listed in</w:t>
      </w:r>
      <w:r w:rsidR="002B33FC" w:rsidRPr="007C09EA">
        <w:rPr>
          <w:lang w:eastAsia="en-AU" w:bidi="ar-SA"/>
        </w:rPr>
        <w:t xml:space="preserve"> Schedule 3</w:t>
      </w:r>
      <w:r w:rsidR="0067510B" w:rsidRPr="007C09EA">
        <w:rPr>
          <w:lang w:eastAsia="en-AU" w:bidi="ar-SA"/>
        </w:rPr>
        <w:t>0</w:t>
      </w:r>
      <w:r w:rsidR="002B33FC" w:rsidRPr="007C09EA">
        <w:rPr>
          <w:lang w:eastAsia="en-AU" w:bidi="ar-SA"/>
        </w:rPr>
        <w:t xml:space="preserve">. As noted in section 2.4.1 of SD1, there are international specifications for the group polysorbate food additives (which includes polysorbate 20). These specifications are primary sources within section S3—2. These primary sources of specifications are JECFA (paragraph S3—2(1)(b)), Food Chemicals Codex (paragraph S3—2(1)(c)) and the European Commission (paragraph S3—2(1)(d)).  </w:t>
      </w:r>
    </w:p>
    <w:p w14:paraId="613BEDAA" w14:textId="27AFE6B0" w:rsidR="002B33FC" w:rsidRPr="007C09EA" w:rsidRDefault="002B33FC" w:rsidP="002B33FC">
      <w:pPr>
        <w:keepNext/>
        <w:spacing w:before="240" w:after="240"/>
        <w:ind w:left="851" w:hanging="851"/>
        <w:outlineLvl w:val="2"/>
        <w:rPr>
          <w:b/>
          <w:bCs/>
          <w:lang w:eastAsia="en-AU" w:bidi="ar-SA"/>
        </w:rPr>
      </w:pPr>
      <w:bookmarkStart w:id="68" w:name="_Toc516642382"/>
      <w:r w:rsidRPr="007C09EA">
        <w:rPr>
          <w:b/>
          <w:bCs/>
          <w:lang w:eastAsia="en-AU" w:bidi="ar-SA"/>
        </w:rPr>
        <w:t>2.3.4</w:t>
      </w:r>
      <w:r w:rsidRPr="007C09EA">
        <w:rPr>
          <w:b/>
          <w:bCs/>
          <w:lang w:eastAsia="en-AU" w:bidi="ar-SA"/>
        </w:rPr>
        <w:tab/>
        <w:t>Analytical methods</w:t>
      </w:r>
      <w:bookmarkEnd w:id="68"/>
    </w:p>
    <w:p w14:paraId="53198399" w14:textId="77777777" w:rsidR="002B33FC" w:rsidRPr="007C09EA" w:rsidRDefault="002B33FC" w:rsidP="002B33FC">
      <w:pPr>
        <w:rPr>
          <w:lang w:eastAsia="en-AU" w:bidi="ar-SA"/>
        </w:rPr>
      </w:pPr>
      <w:r w:rsidRPr="007C09EA">
        <w:rPr>
          <w:lang w:eastAsia="en-AU" w:bidi="ar-SA"/>
        </w:rPr>
        <w:t>Section 2.3 of SD1 notes there are a number of suitable analytical methods for the detection and quantification of polysorbates in food.</w:t>
      </w:r>
    </w:p>
    <w:p w14:paraId="26029DA4" w14:textId="77777777" w:rsidR="002C1A3B" w:rsidRPr="008C301D" w:rsidRDefault="002C1A3B" w:rsidP="002C1A3B">
      <w:pPr>
        <w:pStyle w:val="Heading2"/>
      </w:pPr>
      <w:bookmarkStart w:id="69" w:name="_Toc521320622"/>
      <w:r>
        <w:lastRenderedPageBreak/>
        <w:t>2</w:t>
      </w:r>
      <w:r w:rsidRPr="008C301D">
        <w:t>.</w:t>
      </w:r>
      <w:r>
        <w:t>4</w:t>
      </w:r>
      <w:r w:rsidRPr="008C301D">
        <w:tab/>
        <w:t>Risk communication</w:t>
      </w:r>
      <w:bookmarkEnd w:id="62"/>
      <w:bookmarkEnd w:id="63"/>
      <w:bookmarkEnd w:id="69"/>
      <w:r w:rsidRPr="008C301D">
        <w:t xml:space="preserve"> </w:t>
      </w:r>
    </w:p>
    <w:p w14:paraId="4D66640F" w14:textId="77777777" w:rsidR="002C1A3B" w:rsidRPr="007F42AF" w:rsidRDefault="002C1A3B" w:rsidP="002C1A3B">
      <w:pPr>
        <w:pStyle w:val="Heading3"/>
      </w:pPr>
      <w:bookmarkStart w:id="70" w:name="_Toc300933437"/>
      <w:bookmarkStart w:id="71" w:name="_Toc370223475"/>
      <w:bookmarkStart w:id="72" w:name="_Toc370225390"/>
      <w:bookmarkStart w:id="73" w:name="_Toc521320623"/>
      <w:r w:rsidRPr="007F42AF">
        <w:t>2.4.1</w:t>
      </w:r>
      <w:r w:rsidRPr="007F42AF">
        <w:tab/>
        <w:t>Consultation</w:t>
      </w:r>
      <w:bookmarkEnd w:id="70"/>
      <w:bookmarkEnd w:id="71"/>
      <w:bookmarkEnd w:id="72"/>
      <w:bookmarkEnd w:id="73"/>
    </w:p>
    <w:p w14:paraId="3F375387" w14:textId="312D1BAA" w:rsidR="00D0341B" w:rsidRPr="00CC4CE1" w:rsidRDefault="00D0341B" w:rsidP="00D0341B">
      <w:pPr>
        <w:rPr>
          <w:lang w:eastAsia="en-GB" w:bidi="ar-SA"/>
        </w:rPr>
      </w:pPr>
      <w:bookmarkStart w:id="74" w:name="_Toc370223477"/>
      <w:bookmarkStart w:id="75" w:name="_Toc370225392"/>
      <w:bookmarkStart w:id="76" w:name="_Toc309291816"/>
      <w:bookmarkStart w:id="77" w:name="_Toc300933448"/>
      <w:bookmarkStart w:id="78" w:name="_Toc300933577"/>
      <w:bookmarkStart w:id="79" w:name="_Toc301535601"/>
      <w:bookmarkStart w:id="80" w:name="_Toc309385464"/>
      <w:bookmarkStart w:id="81" w:name="_Toc175381456"/>
      <w:bookmarkEnd w:id="35"/>
      <w:bookmarkEnd w:id="36"/>
      <w:bookmarkEnd w:id="37"/>
      <w:bookmarkEnd w:id="38"/>
      <w:bookmarkEnd w:id="39"/>
      <w:bookmarkEnd w:id="40"/>
      <w:bookmarkEnd w:id="64"/>
      <w:r w:rsidRPr="00CC4CE1">
        <w:rPr>
          <w:lang w:eastAsia="en-GB" w:bidi="ar-SA"/>
        </w:rPr>
        <w:t xml:space="preserve">Consultation is a key part of FSANZ’s standards development process. FSANZ acknowledges the time taken by individuals and organisations to make submissions on this </w:t>
      </w:r>
      <w:r>
        <w:rPr>
          <w:lang w:eastAsia="en-GB" w:bidi="ar-SA"/>
        </w:rPr>
        <w:t>a</w:t>
      </w:r>
      <w:r w:rsidRPr="00CC4CE1">
        <w:rPr>
          <w:lang w:eastAsia="en-GB" w:bidi="ar-SA"/>
        </w:rPr>
        <w:t xml:space="preserve">pplication. Every submission was considered by the FSANZ Board. All comments are valued and contribute to the rigour of our assessment. </w:t>
      </w:r>
    </w:p>
    <w:p w14:paraId="488C30F1" w14:textId="77777777" w:rsidR="00D0341B" w:rsidRPr="00F40388" w:rsidRDefault="00D0341B" w:rsidP="00D0341B">
      <w:pPr>
        <w:pStyle w:val="Default"/>
        <w:rPr>
          <w:rFonts w:cs="Arial"/>
          <w:szCs w:val="22"/>
        </w:rPr>
      </w:pPr>
    </w:p>
    <w:p w14:paraId="453E71A8" w14:textId="77777777" w:rsidR="00D0341B" w:rsidRDefault="00D0341B" w:rsidP="00D0341B">
      <w:pPr>
        <w:widowControl/>
        <w:autoSpaceDE w:val="0"/>
        <w:autoSpaceDN w:val="0"/>
        <w:adjustRightInd w:val="0"/>
        <w:rPr>
          <w:rFonts w:cs="Arial"/>
          <w:color w:val="000000"/>
          <w:szCs w:val="22"/>
          <w:lang w:eastAsia="en-GB" w:bidi="ar-SA"/>
        </w:rPr>
      </w:pPr>
      <w:r w:rsidRPr="00F40388">
        <w:rPr>
          <w:rFonts w:cs="Arial"/>
          <w:color w:val="000000"/>
          <w:szCs w:val="22"/>
          <w:lang w:eastAsia="en-GB" w:bidi="ar-SA"/>
        </w:rPr>
        <w:t xml:space="preserve">FSANZ developed and applied a basic communication strategy to this Application. The call for submissions was notified via the Food Standards Notification Circular, media release, FSANZ’s social media tools and Food Standards News. </w:t>
      </w:r>
    </w:p>
    <w:p w14:paraId="079B0749" w14:textId="77777777" w:rsidR="00D0341B" w:rsidRPr="00F40388" w:rsidRDefault="00D0341B" w:rsidP="00D0341B">
      <w:pPr>
        <w:widowControl/>
        <w:autoSpaceDE w:val="0"/>
        <w:autoSpaceDN w:val="0"/>
        <w:adjustRightInd w:val="0"/>
        <w:rPr>
          <w:rFonts w:cs="Arial"/>
          <w:color w:val="000000"/>
          <w:szCs w:val="22"/>
          <w:lang w:eastAsia="en-GB" w:bidi="ar-SA"/>
        </w:rPr>
      </w:pPr>
    </w:p>
    <w:p w14:paraId="61733969" w14:textId="77777777" w:rsidR="00D0341B" w:rsidRDefault="00D0341B" w:rsidP="00D0341B">
      <w:pPr>
        <w:widowControl/>
        <w:autoSpaceDE w:val="0"/>
        <w:autoSpaceDN w:val="0"/>
        <w:adjustRightInd w:val="0"/>
        <w:rPr>
          <w:rFonts w:cs="Arial"/>
          <w:color w:val="000000"/>
          <w:szCs w:val="22"/>
          <w:lang w:eastAsia="en-GB" w:bidi="ar-SA"/>
        </w:rPr>
      </w:pPr>
      <w:r w:rsidRPr="00F40388">
        <w:rPr>
          <w:rFonts w:cs="Arial"/>
          <w:color w:val="000000"/>
          <w:szCs w:val="22"/>
          <w:lang w:eastAsia="en-GB" w:bidi="ar-SA"/>
        </w:rPr>
        <w:t xml:space="preserve">The process by which FSANZ considers standard development matters is open, accountable, consultative and transparent. </w:t>
      </w:r>
    </w:p>
    <w:p w14:paraId="1C6E4C56" w14:textId="77777777" w:rsidR="00D0341B" w:rsidRPr="00F40388" w:rsidRDefault="00D0341B" w:rsidP="00D0341B">
      <w:pPr>
        <w:widowControl/>
        <w:autoSpaceDE w:val="0"/>
        <w:autoSpaceDN w:val="0"/>
        <w:adjustRightInd w:val="0"/>
        <w:rPr>
          <w:rFonts w:cs="Arial"/>
          <w:color w:val="000000"/>
          <w:szCs w:val="22"/>
          <w:lang w:eastAsia="en-GB" w:bidi="ar-SA"/>
        </w:rPr>
      </w:pPr>
    </w:p>
    <w:p w14:paraId="4E7334E4" w14:textId="2E07BAA5" w:rsidR="00D0341B" w:rsidRDefault="00D0341B" w:rsidP="00D0341B">
      <w:pPr>
        <w:rPr>
          <w:b/>
          <w:bCs/>
          <w:lang w:eastAsia="en-GB"/>
        </w:rPr>
      </w:pPr>
      <w:r w:rsidRPr="00F40388">
        <w:rPr>
          <w:lang w:eastAsia="en-GB"/>
        </w:rPr>
        <w:t xml:space="preserve">The Applicant, individuals and organisations that made submissions on this </w:t>
      </w:r>
      <w:r>
        <w:rPr>
          <w:lang w:eastAsia="en-GB"/>
        </w:rPr>
        <w:t>a</w:t>
      </w:r>
      <w:r w:rsidRPr="00F40388">
        <w:rPr>
          <w:lang w:eastAsia="en-GB"/>
        </w:rPr>
        <w:t>pplication will be notified at each stage of the assessment.</w:t>
      </w:r>
    </w:p>
    <w:p w14:paraId="7BB973DD" w14:textId="77777777" w:rsidR="002C1A3B" w:rsidRPr="002C1A3B" w:rsidRDefault="002C1A3B" w:rsidP="002C1A3B">
      <w:pPr>
        <w:pStyle w:val="Heading2"/>
      </w:pPr>
      <w:bookmarkStart w:id="82" w:name="_Toc521320624"/>
      <w:r w:rsidRPr="002C1A3B">
        <w:t>2.5</w:t>
      </w:r>
      <w:r w:rsidRPr="002C1A3B">
        <w:tab/>
        <w:t>FSANZ Act assessment requirements</w:t>
      </w:r>
      <w:bookmarkEnd w:id="74"/>
      <w:bookmarkEnd w:id="75"/>
      <w:bookmarkEnd w:id="82"/>
    </w:p>
    <w:p w14:paraId="149ED78E" w14:textId="354DF095" w:rsidR="002C1A3B" w:rsidRPr="006721C7" w:rsidRDefault="002C1A3B" w:rsidP="002C1A3B">
      <w:pPr>
        <w:pStyle w:val="Heading3"/>
      </w:pPr>
      <w:bookmarkStart w:id="83" w:name="_Toc370223478"/>
      <w:bookmarkStart w:id="84" w:name="_Toc370225393"/>
      <w:bookmarkStart w:id="85" w:name="_Toc521320625"/>
      <w:bookmarkEnd w:id="76"/>
      <w:bookmarkEnd w:id="77"/>
      <w:bookmarkEnd w:id="78"/>
      <w:bookmarkEnd w:id="79"/>
      <w:bookmarkEnd w:id="80"/>
      <w:r w:rsidRPr="006721C7">
        <w:t>2.5.1</w:t>
      </w:r>
      <w:r w:rsidRPr="006721C7">
        <w:tab/>
        <w:t>Section 29</w:t>
      </w:r>
      <w:bookmarkEnd w:id="83"/>
      <w:bookmarkEnd w:id="84"/>
      <w:bookmarkEnd w:id="85"/>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66E6E1C4" w14:textId="77777777" w:rsidR="00585C0F" w:rsidRDefault="00585C0F" w:rsidP="002C1A3B">
      <w:pPr>
        <w:rPr>
          <w:bCs/>
        </w:rPr>
      </w:pPr>
      <w:r w:rsidRPr="00231528">
        <w:rPr>
          <w:bCs/>
        </w:rPr>
        <w:t xml:space="preserve">The Office of Best Practice Regulation, in a letter dated 24 November 2010 (reference 12065), provided a standing exemption from the need to assess if a Regulation Impact Statement is required for </w:t>
      </w:r>
      <w:r>
        <w:rPr>
          <w:bCs/>
        </w:rPr>
        <w:t>a</w:t>
      </w:r>
      <w:r w:rsidRPr="00231528">
        <w:rPr>
          <w:bCs/>
        </w:rPr>
        <w:t xml:space="preserve">pplications relating to </w:t>
      </w:r>
      <w:r>
        <w:rPr>
          <w:bCs/>
        </w:rPr>
        <w:t>food additives</w:t>
      </w:r>
      <w:r w:rsidRPr="00231528">
        <w:rPr>
          <w:bCs/>
        </w:rPr>
        <w:t xml:space="preserve">, as they are machinery in nature and their use is voluntary. </w:t>
      </w:r>
    </w:p>
    <w:p w14:paraId="4CDB315C" w14:textId="5856F5A2" w:rsidR="00585C0F" w:rsidRDefault="00585C0F" w:rsidP="002C1A3B">
      <w:pPr>
        <w:rPr>
          <w:bCs/>
        </w:rPr>
      </w:pPr>
    </w:p>
    <w:p w14:paraId="6874D1D0" w14:textId="124CC89D" w:rsidR="00585C0F" w:rsidRDefault="00585C0F" w:rsidP="00585C0F">
      <w:r>
        <w:t xml:space="preserve">However, notwithstanding that exemption, the FSANZ Act requires FSANZ to have regard to whether costs that would arise from the proposed measure outweigh the direct and indirect benefits to the community, government or industry that would arise from the proposed measure (S.29 (2)(a)). The purpose of this consideration is to determine if the community, government, and industry as a whole is likely to benefit, on balance, from a move from the status quo. </w:t>
      </w:r>
      <w:r>
        <w:rPr>
          <w:color w:val="000000"/>
        </w:rPr>
        <w:t xml:space="preserve">Approving the application </w:t>
      </w:r>
      <w:r>
        <w:t xml:space="preserve">is the only proposed measure that </w:t>
      </w:r>
      <w:r>
        <w:rPr>
          <w:color w:val="000000"/>
        </w:rPr>
        <w:t xml:space="preserve">has been considered against the status quo (i.e. rejecting the application). </w:t>
      </w:r>
    </w:p>
    <w:p w14:paraId="64A1F7E8" w14:textId="77777777" w:rsidR="00585C0F" w:rsidRPr="00611BF1" w:rsidRDefault="00585C0F" w:rsidP="00585C0F">
      <w:pPr>
        <w:rPr>
          <w:lang w:val="en-AU"/>
        </w:rPr>
      </w:pPr>
    </w:p>
    <w:p w14:paraId="34B0719F" w14:textId="2A40B45F" w:rsidR="00585C0F" w:rsidRDefault="00585C0F" w:rsidP="00585C0F">
      <w:r>
        <w:t>The consideration of the costs and benefits in this section was not intended to be an exhaustive, quantitative economic analysis of the proposed measures. Rather, the consideration sought to highlight the likely positives and negatives of moving away from the status quo by approving the application.</w:t>
      </w:r>
    </w:p>
    <w:p w14:paraId="7003C1A4" w14:textId="77777777" w:rsidR="00585C0F" w:rsidRPr="00611BF1" w:rsidRDefault="00585C0F" w:rsidP="00585C0F">
      <w:pPr>
        <w:rPr>
          <w:lang w:val="en-AU"/>
        </w:rPr>
      </w:pPr>
    </w:p>
    <w:p w14:paraId="5B28AB76" w14:textId="1FB10D7A" w:rsidR="00585C0F" w:rsidRDefault="00585C0F" w:rsidP="00585C0F">
      <w:r w:rsidRPr="00111D7A">
        <w:rPr>
          <w:rFonts w:cs="Arial"/>
        </w:rPr>
        <w:t xml:space="preserve">FSANZ is required to consider the impact of various regulatory and non-regulatory options on all sectors of the community, especially relevant stakeholders who may be affected by this </w:t>
      </w:r>
      <w:r>
        <w:rPr>
          <w:rFonts w:cs="Arial"/>
        </w:rPr>
        <w:t>a</w:t>
      </w:r>
      <w:r w:rsidRPr="00111D7A">
        <w:rPr>
          <w:rFonts w:cs="Arial"/>
        </w:rPr>
        <w:t xml:space="preserve">pplication. </w:t>
      </w:r>
      <w:r w:rsidRPr="00111D7A">
        <w:t xml:space="preserve">The level of analysis </w:t>
      </w:r>
      <w:r>
        <w:t>was</w:t>
      </w:r>
      <w:r w:rsidRPr="00111D7A">
        <w:t xml:space="preserve"> commensurate with the nature of the </w:t>
      </w:r>
      <w:r>
        <w:t>a</w:t>
      </w:r>
      <w:r w:rsidRPr="00111D7A">
        <w:t>pplication and significance of the impacts.</w:t>
      </w:r>
      <w:r>
        <w:t xml:space="preserve"> </w:t>
      </w:r>
    </w:p>
    <w:p w14:paraId="41115841" w14:textId="77777777" w:rsidR="00585C0F" w:rsidRDefault="00585C0F" w:rsidP="002C1A3B">
      <w:pPr>
        <w:rPr>
          <w:bCs/>
        </w:rPr>
      </w:pPr>
    </w:p>
    <w:p w14:paraId="6020F539" w14:textId="3B64B23B" w:rsidR="002C1A3B" w:rsidRPr="002C1A3B" w:rsidRDefault="00585C0F" w:rsidP="002C1A3B">
      <w:r>
        <w:t>FSANZ’s assessment was that t</w:t>
      </w:r>
      <w:r w:rsidR="0099623A">
        <w:t xml:space="preserve">he direct and indirect benefits </w:t>
      </w:r>
      <w:r w:rsidR="0099623A" w:rsidRPr="00914030">
        <w:t xml:space="preserve">that would arise from a food regulatory measure developed or varied as a result of the </w:t>
      </w:r>
      <w:r w:rsidR="006721C7" w:rsidRPr="006721C7">
        <w:t>application</w:t>
      </w:r>
      <w:r w:rsidR="0099623A" w:rsidRPr="006721C7">
        <w:t xml:space="preserve"> </w:t>
      </w:r>
      <w:r w:rsidR="0099623A" w:rsidRPr="00914030">
        <w:t>outweigh</w:t>
      </w:r>
      <w:r>
        <w:t>ed</w:t>
      </w:r>
      <w:r w:rsidR="0099623A" w:rsidRPr="00914030">
        <w:t xml:space="preserve"> the </w:t>
      </w:r>
      <w:r w:rsidR="0099623A">
        <w:t>costs</w:t>
      </w:r>
      <w:r w:rsidR="0099623A" w:rsidRPr="00914030">
        <w:t xml:space="preserve"> to the community, </w:t>
      </w:r>
      <w:r>
        <w:t>g</w:t>
      </w:r>
      <w:r w:rsidR="0099623A" w:rsidRPr="00914030">
        <w:t>overnment or industry that would arise from develop</w:t>
      </w:r>
      <w:r>
        <w:t xml:space="preserve">ing </w:t>
      </w:r>
      <w:r w:rsidR="0099623A" w:rsidRPr="00914030">
        <w:t>or var</w:t>
      </w:r>
      <w:r>
        <w:t>ying</w:t>
      </w:r>
      <w:r w:rsidR="0099623A">
        <w:t xml:space="preserve"> </w:t>
      </w:r>
      <w:r>
        <w:t>that</w:t>
      </w:r>
      <w:r w:rsidR="0099623A">
        <w:t xml:space="preserve"> food regulatory measure.</w:t>
      </w:r>
      <w:r>
        <w:t xml:space="preserve"> The reason for this conclusion is that approving permission for polysorbate 20 as an emulsifier for </w:t>
      </w:r>
      <w:r w:rsidR="00677AC8">
        <w:rPr>
          <w:szCs w:val="22"/>
        </w:rPr>
        <w:t xml:space="preserve">processed meat and meat products, and processed fish and fish products provides benefits to the food industry, without any costs to governments and consumers. Polysorbate 20 has better emulsifying properties for certain types of </w:t>
      </w:r>
      <w:r w:rsidR="00677AC8">
        <w:rPr>
          <w:szCs w:val="22"/>
        </w:rPr>
        <w:lastRenderedPageBreak/>
        <w:t xml:space="preserve">processes compared to currently permitted emulsifiers. This includes better wetting properties of the meat and fish surfaces to be treated with antimicrobial agents to reduce microbial load on these products. </w:t>
      </w:r>
    </w:p>
    <w:p w14:paraId="494870A6" w14:textId="77777777" w:rsidR="002C1A3B" w:rsidRPr="002C1A3B" w:rsidRDefault="002C1A3B" w:rsidP="002C1A3B">
      <w:pPr>
        <w:pStyle w:val="Heading4"/>
      </w:pPr>
      <w:r w:rsidRPr="002C1A3B">
        <w:t>2.5.1.2</w:t>
      </w:r>
      <w:r w:rsidRPr="002C1A3B">
        <w:tab/>
        <w:t>Other measures</w:t>
      </w:r>
    </w:p>
    <w:p w14:paraId="7B16675E" w14:textId="34761BD2" w:rsidR="002C1A3B" w:rsidRPr="00677AC8" w:rsidRDefault="002C1A3B" w:rsidP="002C1A3B">
      <w:r w:rsidRPr="002C1A3B">
        <w:t xml:space="preserve">There are no other measures (whether available to FSANZ or not) that would be more cost-effective than a food regulatory measure developed or varied as a result of the </w:t>
      </w:r>
      <w:r w:rsidR="007F42AF" w:rsidRPr="00677AC8">
        <w:t>a</w:t>
      </w:r>
      <w:r w:rsidRPr="00677AC8">
        <w:t>pplication.</w:t>
      </w:r>
    </w:p>
    <w:p w14:paraId="258883E6" w14:textId="77777777" w:rsidR="002C1A3B" w:rsidRPr="002C1A3B" w:rsidRDefault="002C1A3B" w:rsidP="002C1A3B">
      <w:pPr>
        <w:pStyle w:val="Heading4"/>
      </w:pPr>
      <w:r w:rsidRPr="002C1A3B">
        <w:t>2.5.1.3</w:t>
      </w:r>
      <w:r w:rsidRPr="002C1A3B">
        <w:tab/>
        <w:t>Any relevant New Zealand standards</w:t>
      </w:r>
    </w:p>
    <w:p w14:paraId="131C019E" w14:textId="0464D1E0" w:rsidR="00677AC8" w:rsidRDefault="00677AC8" w:rsidP="00677AC8">
      <w:pPr>
        <w:rPr>
          <w:lang w:bidi="ar-SA"/>
        </w:rPr>
      </w:pPr>
      <w:r>
        <w:rPr>
          <w:lang w:bidi="ar-SA"/>
        </w:rPr>
        <w:t xml:space="preserve">Standards 1.1.1, </w:t>
      </w:r>
      <w:r w:rsidR="0067510B">
        <w:rPr>
          <w:lang w:bidi="ar-SA"/>
        </w:rPr>
        <w:t xml:space="preserve">1.1.2, </w:t>
      </w:r>
      <w:r>
        <w:rPr>
          <w:lang w:bidi="ar-SA"/>
        </w:rPr>
        <w:t xml:space="preserve">1.2.4 and 1.3.1 and Schedules </w:t>
      </w:r>
      <w:r w:rsidR="0067510B">
        <w:rPr>
          <w:lang w:bidi="ar-SA"/>
        </w:rPr>
        <w:t xml:space="preserve">7, </w:t>
      </w:r>
      <w:r>
        <w:rPr>
          <w:lang w:bidi="ar-SA"/>
        </w:rPr>
        <w:t>8</w:t>
      </w:r>
      <w:r w:rsidR="0067510B">
        <w:rPr>
          <w:lang w:bidi="ar-SA"/>
        </w:rPr>
        <w:t>, 14, 15</w:t>
      </w:r>
      <w:r>
        <w:rPr>
          <w:lang w:bidi="ar-SA"/>
        </w:rPr>
        <w:t xml:space="preserve"> and 1</w:t>
      </w:r>
      <w:r w:rsidR="0067510B">
        <w:rPr>
          <w:lang w:bidi="ar-SA"/>
        </w:rPr>
        <w:t>6</w:t>
      </w:r>
      <w:r>
        <w:rPr>
          <w:lang w:bidi="ar-SA"/>
        </w:rPr>
        <w:t xml:space="preserve"> apply in both Australia and New Zealand. There are no relevant New Zealand only Standards. </w:t>
      </w:r>
    </w:p>
    <w:p w14:paraId="7F047EB0" w14:textId="77777777" w:rsidR="002C1A3B" w:rsidRPr="002C1A3B" w:rsidRDefault="002C1A3B" w:rsidP="002C1A3B">
      <w:pPr>
        <w:pStyle w:val="Heading4"/>
      </w:pPr>
      <w:r w:rsidRPr="002C1A3B">
        <w:t>2.5.1.4</w:t>
      </w:r>
      <w:r w:rsidRPr="002C1A3B">
        <w:tab/>
        <w:t>Any other relevant matters</w:t>
      </w:r>
    </w:p>
    <w:p w14:paraId="46D91378" w14:textId="77777777" w:rsidR="001F7F63" w:rsidRDefault="001F7F63" w:rsidP="001F7F63">
      <w:pPr>
        <w:rPr>
          <w:lang w:bidi="ar-SA"/>
        </w:rPr>
      </w:pPr>
      <w:bookmarkStart w:id="86" w:name="_Toc370223479"/>
      <w:bookmarkStart w:id="87" w:name="_Toc370225394"/>
      <w:bookmarkStart w:id="88" w:name="_Toc300761897"/>
      <w:bookmarkStart w:id="89" w:name="_Toc300933440"/>
      <w:r>
        <w:t>Other relevant matters are considered below</w:t>
      </w:r>
      <w:r>
        <w:rPr>
          <w:lang w:bidi="ar-SA"/>
        </w:rPr>
        <w:t>.</w:t>
      </w:r>
      <w:r>
        <w:t xml:space="preserve"> </w:t>
      </w:r>
    </w:p>
    <w:p w14:paraId="10CCAF40" w14:textId="448950E0" w:rsidR="002C1A3B" w:rsidRPr="002C1A3B" w:rsidRDefault="002C1A3B" w:rsidP="002C1A3B">
      <w:pPr>
        <w:pStyle w:val="Heading3"/>
      </w:pPr>
      <w:bookmarkStart w:id="90" w:name="_Toc521320626"/>
      <w:r w:rsidRPr="002C1A3B">
        <w:t>2.5.2</w:t>
      </w:r>
      <w:r w:rsidRPr="002C1A3B">
        <w:tab/>
        <w:t>Subsection 18(1)</w:t>
      </w:r>
      <w:bookmarkEnd w:id="86"/>
      <w:bookmarkEnd w:id="87"/>
      <w:bookmarkEnd w:id="90"/>
      <w:r w:rsidRPr="002C1A3B">
        <w:t xml:space="preserve"> </w:t>
      </w:r>
      <w:bookmarkEnd w:id="88"/>
      <w:bookmarkEnd w:id="89"/>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91" w:name="_Toc297029117"/>
      <w:bookmarkStart w:id="92" w:name="_Toc300761898"/>
      <w:bookmarkStart w:id="93" w:name="_Toc300933441"/>
      <w:r w:rsidRPr="002C1A3B">
        <w:rPr>
          <w:lang w:eastAsia="en-AU"/>
        </w:rPr>
        <w:t>2.5.2.1</w:t>
      </w:r>
      <w:r w:rsidRPr="002C1A3B">
        <w:rPr>
          <w:lang w:eastAsia="en-AU"/>
        </w:rPr>
        <w:tab/>
        <w:t>Protection of public health and safety</w:t>
      </w:r>
      <w:bookmarkEnd w:id="91"/>
      <w:bookmarkEnd w:id="92"/>
      <w:bookmarkEnd w:id="93"/>
    </w:p>
    <w:p w14:paraId="7EDC1D20" w14:textId="364D2FE2" w:rsidR="00677AC8" w:rsidRPr="008D0E20" w:rsidRDefault="00677AC8" w:rsidP="00677AC8">
      <w:bookmarkStart w:id="94" w:name="_Toc300761899"/>
      <w:bookmarkStart w:id="95" w:name="_Toc300933442"/>
      <w:r>
        <w:t xml:space="preserve">FSANZ </w:t>
      </w:r>
      <w:r w:rsidR="00656C54">
        <w:t xml:space="preserve">undertook </w:t>
      </w:r>
      <w:r>
        <w:t xml:space="preserve">a safety assessment (SD1) and concluded there are no public health and safety concerns with permitting the use of polysorbate 20 </w:t>
      </w:r>
      <w:r w:rsidRPr="00C44DD5">
        <w:t>in the production of processed meat products and processed fish and fish products</w:t>
      </w:r>
      <w:r>
        <w:t xml:space="preserve">. </w:t>
      </w:r>
    </w:p>
    <w:p w14:paraId="5616BD60"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4"/>
      <w:bookmarkEnd w:id="95"/>
    </w:p>
    <w:p w14:paraId="43599581" w14:textId="10F1C040" w:rsidR="00430AEC" w:rsidRPr="00DE3478" w:rsidRDefault="00430AEC" w:rsidP="00430AEC">
      <w:bookmarkStart w:id="96" w:name="_Toc300761900"/>
      <w:bookmarkStart w:id="97" w:name="_Toc300933443"/>
      <w:r w:rsidRPr="00DE3478">
        <w:t xml:space="preserve">The labelling requirements for polysorbate 20 as a food additive are discussed in section </w:t>
      </w:r>
      <w:r w:rsidRPr="004B180D">
        <w:t>2.3.2 – Labelling</w:t>
      </w:r>
      <w:r w:rsidRPr="00DE3478">
        <w:t xml:space="preserve"> considerations.</w:t>
      </w:r>
      <w:r>
        <w:t xml:space="preserve"> These requirements provide information to enable consumers to make informed choices. </w:t>
      </w:r>
    </w:p>
    <w:p w14:paraId="645283E6"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96"/>
      <w:bookmarkEnd w:id="97"/>
    </w:p>
    <w:p w14:paraId="7D6D2F6C" w14:textId="77777777" w:rsidR="00430AEC" w:rsidRPr="00DE3478" w:rsidRDefault="00430AEC" w:rsidP="00430AEC">
      <w:bookmarkStart w:id="98" w:name="_Toc300761901"/>
      <w:bookmarkStart w:id="99" w:name="_Toc300933444"/>
      <w:bookmarkStart w:id="100" w:name="_Toc370223480"/>
      <w:bookmarkStart w:id="101" w:name="_Toc370225395"/>
      <w:r w:rsidRPr="00DE3478">
        <w:t xml:space="preserve">There are </w:t>
      </w:r>
      <w:r>
        <w:t>no issues identified with this a</w:t>
      </w:r>
      <w:r w:rsidRPr="00DE3478">
        <w:t>pplication relevant to this objective.</w:t>
      </w:r>
    </w:p>
    <w:p w14:paraId="7183F1D0"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98"/>
      <w:bookmarkEnd w:id="99"/>
      <w:r w:rsidRPr="002C1A3B">
        <w:rPr>
          <w:b/>
          <w:bCs/>
          <w:lang w:eastAsia="en-AU" w:bidi="ar-SA"/>
        </w:rPr>
        <w:t>considerations</w:t>
      </w:r>
      <w:bookmarkEnd w:id="100"/>
      <w:bookmarkEnd w:id="101"/>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D10F662" w14:textId="77777777" w:rsidR="002C1A3B" w:rsidRPr="002C1A3B" w:rsidRDefault="002C1A3B" w:rsidP="002C1A3B">
      <w:pPr>
        <w:rPr>
          <w:lang w:bidi="ar-SA"/>
        </w:rPr>
      </w:pPr>
    </w:p>
    <w:p w14:paraId="1224A64A" w14:textId="4BE00E98" w:rsidR="00430AEC" w:rsidRDefault="00430AEC" w:rsidP="00430AEC">
      <w:pPr>
        <w:rPr>
          <w:lang w:bidi="ar-SA"/>
        </w:rPr>
      </w:pPr>
      <w:r w:rsidRPr="00DE3478">
        <w:rPr>
          <w:lang w:bidi="ar-SA"/>
        </w:rPr>
        <w:t xml:space="preserve">FSANZ used the best available scientific evidence to conduct the risk analysis, which is provided in SD1. The </w:t>
      </w:r>
      <w:r>
        <w:rPr>
          <w:lang w:bidi="ar-SA"/>
        </w:rPr>
        <w:t>a</w:t>
      </w:r>
      <w:r w:rsidRPr="00DE3478">
        <w:rPr>
          <w:lang w:bidi="ar-SA"/>
        </w:rPr>
        <w:t xml:space="preserve">pplicant submitted a dossier of scientific studies as part of </w:t>
      </w:r>
      <w:r w:rsidR="00656C54">
        <w:rPr>
          <w:lang w:bidi="ar-SA"/>
        </w:rPr>
        <w:t>its</w:t>
      </w:r>
      <w:r w:rsidR="00656C54" w:rsidRPr="00DE3478">
        <w:rPr>
          <w:lang w:bidi="ar-SA"/>
        </w:rPr>
        <w:t xml:space="preserve"> </w:t>
      </w:r>
      <w:r>
        <w:rPr>
          <w:lang w:bidi="ar-SA"/>
        </w:rPr>
        <w:t>a</w:t>
      </w:r>
      <w:r w:rsidRPr="00DE3478">
        <w:rPr>
          <w:lang w:bidi="ar-SA"/>
        </w:rPr>
        <w:t xml:space="preserve">pplication. Other technical information, including scientific literature, </w:t>
      </w:r>
      <w:r>
        <w:rPr>
          <w:lang w:bidi="ar-SA"/>
        </w:rPr>
        <w:t>was also used in assessing the ap</w:t>
      </w:r>
      <w:r w:rsidRPr="00DE3478">
        <w:rPr>
          <w:lang w:bidi="ar-SA"/>
        </w:rPr>
        <w:t>plication.</w:t>
      </w:r>
    </w:p>
    <w:p w14:paraId="578FA355" w14:textId="77777777" w:rsidR="002C1A3B" w:rsidRPr="002C1A3B" w:rsidRDefault="002C1A3B" w:rsidP="002C1A3B">
      <w:pPr>
        <w:rPr>
          <w:lang w:bidi="ar-SA"/>
        </w:rPr>
      </w:pP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28DE519F" w14:textId="77777777" w:rsidR="002C1A3B" w:rsidRPr="002C1A3B" w:rsidRDefault="002C1A3B" w:rsidP="002C1A3B">
      <w:pPr>
        <w:rPr>
          <w:lang w:bidi="ar-SA"/>
        </w:rPr>
      </w:pPr>
    </w:p>
    <w:p w14:paraId="562DF801" w14:textId="72FCC89A" w:rsidR="00430AEC" w:rsidRPr="00DE3478" w:rsidRDefault="00430AEC" w:rsidP="00430AEC">
      <w:r w:rsidRPr="00DE3478">
        <w:t>Polysorbate 20 is permitted as a food additive in a number countr</w:t>
      </w:r>
      <w:r>
        <w:t>y’</w:t>
      </w:r>
      <w:r w:rsidRPr="00DE3478">
        <w:t xml:space="preserve">s food regulations, as well </w:t>
      </w:r>
      <w:r w:rsidRPr="00DE3478">
        <w:lastRenderedPageBreak/>
        <w:t xml:space="preserve">as in the Codex </w:t>
      </w:r>
      <w:r>
        <w:t>GSFA</w:t>
      </w:r>
      <w:r w:rsidRPr="00DE3478">
        <w:t xml:space="preserve">, as part of the </w:t>
      </w:r>
      <w:r>
        <w:t xml:space="preserve">group of </w:t>
      </w:r>
      <w:r w:rsidRPr="00DE3478">
        <w:t xml:space="preserve">polysorbate </w:t>
      </w:r>
      <w:r>
        <w:t>food additives</w:t>
      </w:r>
      <w:r w:rsidRPr="00DE3478">
        <w:t xml:space="preserve"> </w:t>
      </w:r>
      <w:r>
        <w:t>(see section 1.3.1)</w:t>
      </w:r>
      <w:r w:rsidRPr="00DE3478">
        <w:t>. Permitting the use of polysorbate 20 will promote consistency of food regulations between Australia and New Zealand and international standards.</w:t>
      </w:r>
    </w:p>
    <w:p w14:paraId="0B5AD2DA" w14:textId="77777777" w:rsidR="002C1A3B" w:rsidRPr="002C1A3B" w:rsidRDefault="002C1A3B" w:rsidP="002C1A3B">
      <w:pPr>
        <w:rPr>
          <w:lang w:bidi="ar-SA"/>
        </w:rPr>
      </w:pP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707DD71C" w14:textId="08B92EBD" w:rsidR="00430AEC" w:rsidRDefault="00430AEC" w:rsidP="00430AEC">
      <w:r w:rsidRPr="00C44DD5">
        <w:t xml:space="preserve">Permission to use polysorbate 20 in the production of processed </w:t>
      </w:r>
      <w:r>
        <w:t xml:space="preserve">meat and </w:t>
      </w:r>
      <w:r w:rsidRPr="00C44DD5">
        <w:t>meat products</w:t>
      </w:r>
      <w:r>
        <w:t>,</w:t>
      </w:r>
      <w:r w:rsidRPr="00C44DD5">
        <w:t xml:space="preserve"> and processed fish and fish products will provide improved efficiencies for Australian and New Zealand producers as polysorbate 20 has advantages over other polysorbates and emulsifiers. </w:t>
      </w:r>
      <w:r>
        <w:t>In particular, t</w:t>
      </w:r>
      <w:r w:rsidRPr="00C44DD5">
        <w:t xml:space="preserve">his is to improve wetting properties of the </w:t>
      </w:r>
      <w:r w:rsidR="00D41237" w:rsidRPr="00C44DD5">
        <w:t>surface</w:t>
      </w:r>
      <w:r w:rsidR="00D41237">
        <w:t xml:space="preserve"> of food</w:t>
      </w:r>
      <w:r w:rsidR="00D41237" w:rsidRPr="00C44DD5">
        <w:t xml:space="preserve"> </w:t>
      </w:r>
      <w:r w:rsidRPr="00C44DD5">
        <w:t>treated with antimicrobial agents.</w:t>
      </w:r>
    </w:p>
    <w:p w14:paraId="51A5A178" w14:textId="77777777" w:rsidR="00430AEC" w:rsidRPr="00C44DD5" w:rsidRDefault="00430AEC" w:rsidP="00430AEC"/>
    <w:p w14:paraId="4A92FA8B" w14:textId="26B2467C" w:rsidR="002C1A3B" w:rsidRPr="002C1A3B" w:rsidRDefault="00430AEC" w:rsidP="00430AEC">
      <w:pPr>
        <w:pStyle w:val="FSBullet1"/>
        <w:rPr>
          <w:b/>
        </w:rPr>
      </w:pPr>
      <w:r w:rsidRPr="002C1A3B">
        <w:rPr>
          <w:b/>
        </w:rPr>
        <w:t xml:space="preserve"> </w:t>
      </w:r>
      <w:r w:rsidR="002C1A3B" w:rsidRPr="002C1A3B">
        <w:rPr>
          <w:b/>
        </w:rPr>
        <w:t>the promotion of fair trading in food</w:t>
      </w:r>
    </w:p>
    <w:p w14:paraId="03A28343" w14:textId="77777777" w:rsidR="002C1A3B" w:rsidRPr="002C1A3B" w:rsidRDefault="002C1A3B" w:rsidP="002C1A3B">
      <w:pPr>
        <w:rPr>
          <w:lang w:bidi="ar-SA"/>
        </w:rPr>
      </w:pPr>
    </w:p>
    <w:p w14:paraId="5BAD628F" w14:textId="77777777" w:rsidR="00430AEC" w:rsidRPr="00C44DD5" w:rsidRDefault="00430AEC" w:rsidP="00430AEC">
      <w:r w:rsidRPr="00C44DD5">
        <w:t>No i</w:t>
      </w:r>
      <w:r>
        <w:t>ssues were identified for this a</w:t>
      </w:r>
      <w:r w:rsidRPr="00C44DD5">
        <w:t>pplication relevant to this objective.</w:t>
      </w:r>
    </w:p>
    <w:p w14:paraId="640EF022" w14:textId="77777777" w:rsidR="002C1A3B" w:rsidRPr="002C1A3B" w:rsidRDefault="002C1A3B" w:rsidP="002C1A3B">
      <w:pPr>
        <w:rPr>
          <w:lang w:bidi="ar-SA"/>
        </w:rPr>
      </w:pPr>
    </w:p>
    <w:p w14:paraId="2C1F2530"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1E27E4D" w14:textId="77777777" w:rsidR="002C1A3B" w:rsidRPr="002C1A3B" w:rsidRDefault="002C1A3B" w:rsidP="002C1A3B">
      <w:pPr>
        <w:rPr>
          <w:lang w:bidi="ar-SA"/>
        </w:rPr>
      </w:pPr>
    </w:p>
    <w:p w14:paraId="74053AD2" w14:textId="00A76B56" w:rsidR="00430AEC" w:rsidRPr="00430AEC" w:rsidRDefault="00430AEC" w:rsidP="00430AEC">
      <w:bookmarkStart w:id="102" w:name="_Toc11735643"/>
      <w:bookmarkStart w:id="103" w:name="_Toc29883130"/>
      <w:bookmarkStart w:id="104" w:name="_Toc41906817"/>
      <w:bookmarkStart w:id="105" w:name="_Toc41907564"/>
      <w:bookmarkStart w:id="106" w:name="_Toc43112360"/>
      <w:bookmarkEnd w:id="81"/>
      <w:r w:rsidRPr="00430AEC">
        <w:rPr>
          <w:szCs w:val="22"/>
        </w:rPr>
        <w:t xml:space="preserve">The </w:t>
      </w:r>
      <w:hyperlink r:id="rId20" w:history="1">
        <w:r w:rsidRPr="001A69E4">
          <w:rPr>
            <w:rStyle w:val="Hyperlink"/>
            <w:szCs w:val="22"/>
          </w:rPr>
          <w:t>Policy Guideline for the Addition to Food of Substances other than Vitamins and Minerals</w:t>
        </w:r>
      </w:hyperlink>
      <w:r w:rsidRPr="00430AEC">
        <w:rPr>
          <w:vertAlign w:val="superscript"/>
        </w:rPr>
        <w:footnoteReference w:id="14"/>
      </w:r>
      <w:r w:rsidRPr="00430AEC">
        <w:rPr>
          <w:szCs w:val="22"/>
        </w:rPr>
        <w:t xml:space="preserve"> </w:t>
      </w:r>
      <w:r w:rsidRPr="00430AEC">
        <w:t>includes specific order policy principles for substances added to achieve a solely technological function, such as food additives. These specific order policy principles state that permission should be granted where:</w:t>
      </w:r>
    </w:p>
    <w:p w14:paraId="07AE8939" w14:textId="77777777" w:rsidR="00430AEC" w:rsidRPr="00430AEC" w:rsidRDefault="00430AEC" w:rsidP="00430AEC"/>
    <w:p w14:paraId="4DD2F7CB" w14:textId="77777777" w:rsidR="00430AEC" w:rsidRPr="00430AEC" w:rsidRDefault="00430AEC" w:rsidP="00430AEC">
      <w:pPr>
        <w:pStyle w:val="FSBullet1"/>
      </w:pPr>
      <w:r w:rsidRPr="00430AEC">
        <w:t>the purpose for adding the substance can be articulated clearly by the manufacturer as achieving a solely technological function (i.e. the ‘stated purpose’)</w:t>
      </w:r>
    </w:p>
    <w:p w14:paraId="31790768" w14:textId="77777777" w:rsidR="00430AEC" w:rsidRPr="00430AEC" w:rsidRDefault="00430AEC" w:rsidP="00430AEC">
      <w:pPr>
        <w:pStyle w:val="FSBullet1"/>
      </w:pPr>
      <w:r w:rsidRPr="00430AEC">
        <w:t>the addition of the substance to food is safe for human consumption</w:t>
      </w:r>
    </w:p>
    <w:p w14:paraId="0B1DE066" w14:textId="77777777" w:rsidR="00430AEC" w:rsidRPr="00430AEC" w:rsidRDefault="00430AEC" w:rsidP="00430AEC">
      <w:pPr>
        <w:pStyle w:val="FSBullet1"/>
      </w:pPr>
      <w:r w:rsidRPr="00430AEC">
        <w:t>the amounts added are consistent with achieving the technological function</w:t>
      </w:r>
    </w:p>
    <w:p w14:paraId="143664B3" w14:textId="77777777" w:rsidR="00430AEC" w:rsidRPr="00430AEC" w:rsidRDefault="00430AEC" w:rsidP="00430AEC">
      <w:pPr>
        <w:pStyle w:val="FSBullet1"/>
      </w:pPr>
      <w:r w:rsidRPr="00430AEC">
        <w:t>the substance is added in a quantity and a form which is consistent with delivering the stated purpose</w:t>
      </w:r>
    </w:p>
    <w:p w14:paraId="05C1F0FC" w14:textId="77777777" w:rsidR="00430AEC" w:rsidRPr="00430AEC" w:rsidRDefault="00430AEC" w:rsidP="00430AEC">
      <w:pPr>
        <w:pStyle w:val="FSBullet1"/>
      </w:pPr>
      <w:r w:rsidRPr="00430AEC">
        <w:t>no nutrition, health or related claims are to be made in regard to the substance.</w:t>
      </w:r>
    </w:p>
    <w:p w14:paraId="7C46B1BC" w14:textId="77777777" w:rsidR="00430AEC" w:rsidRPr="00430AEC" w:rsidRDefault="00430AEC" w:rsidP="00430AEC"/>
    <w:p w14:paraId="3F1D705C" w14:textId="66033FDB" w:rsidR="00430AEC" w:rsidRPr="00430AEC" w:rsidRDefault="00430AEC" w:rsidP="00430AEC">
      <w:r w:rsidRPr="00430AEC">
        <w:t xml:space="preserve">FSANZ determined that permitting the use of polysorbate 20 as an emulsifier food additive for treating processed </w:t>
      </w:r>
      <w:r>
        <w:t xml:space="preserve">meat and </w:t>
      </w:r>
      <w:r w:rsidRPr="00430AEC">
        <w:t>meat products</w:t>
      </w:r>
      <w:r>
        <w:t>,</w:t>
      </w:r>
      <w:r w:rsidRPr="00430AEC">
        <w:t xml:space="preserve"> and processed fish and fish products is consistent with the specific order principles.</w:t>
      </w:r>
    </w:p>
    <w:p w14:paraId="0C120C20" w14:textId="77777777" w:rsidR="0012388D" w:rsidRDefault="00D15A08" w:rsidP="006C22A7">
      <w:pPr>
        <w:spacing w:before="240"/>
        <w:rPr>
          <w:b/>
          <w:sz w:val="28"/>
          <w:szCs w:val="28"/>
        </w:rPr>
      </w:pPr>
      <w:r w:rsidRPr="006C22A7">
        <w:rPr>
          <w:b/>
          <w:sz w:val="28"/>
          <w:szCs w:val="28"/>
        </w:rPr>
        <w:t>A</w:t>
      </w:r>
      <w:bookmarkEnd w:id="102"/>
      <w:bookmarkEnd w:id="103"/>
      <w:bookmarkEnd w:id="104"/>
      <w:bookmarkEnd w:id="105"/>
      <w:bookmarkEnd w:id="106"/>
      <w:r w:rsidR="00B21055">
        <w:rPr>
          <w:b/>
          <w:sz w:val="28"/>
          <w:szCs w:val="28"/>
        </w:rPr>
        <w:t>ttachments</w:t>
      </w:r>
    </w:p>
    <w:p w14:paraId="2B67F22E" w14:textId="77777777" w:rsidR="006C22A7" w:rsidRDefault="006C22A7" w:rsidP="00755F02"/>
    <w:p w14:paraId="4DC29E49" w14:textId="297D6671"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21D6342" w14:textId="563D713F" w:rsidR="00456BD5" w:rsidRPr="00456BD5" w:rsidRDefault="003C4969" w:rsidP="00456BD5">
      <w:pPr>
        <w:pStyle w:val="Heading2"/>
        <w:ind w:left="0" w:firstLine="0"/>
      </w:pPr>
      <w:r w:rsidRPr="00932F14">
        <w:br w:type="page"/>
      </w:r>
      <w:bookmarkStart w:id="107" w:name="_Toc29883131"/>
      <w:bookmarkStart w:id="108" w:name="_Toc41906818"/>
      <w:bookmarkStart w:id="109" w:name="_Toc41907565"/>
      <w:bookmarkStart w:id="110" w:name="_Toc120358596"/>
      <w:bookmarkStart w:id="111" w:name="_Toc175381458"/>
      <w:bookmarkStart w:id="112" w:name="_Toc11735644"/>
      <w:bookmarkStart w:id="113" w:name="_Toc521320627"/>
      <w:r w:rsidRPr="00932F14">
        <w:lastRenderedPageBreak/>
        <w:t xml:space="preserve">Attachment </w:t>
      </w:r>
      <w:bookmarkEnd w:id="107"/>
      <w:bookmarkEnd w:id="108"/>
      <w:bookmarkEnd w:id="109"/>
      <w:bookmarkEnd w:id="110"/>
      <w:bookmarkEnd w:id="111"/>
      <w:r w:rsidR="00456B54">
        <w:t>A</w:t>
      </w:r>
      <w:bookmarkStart w:id="114" w:name="_Toc120358597"/>
      <w:bookmarkStart w:id="115" w:name="_Toc175381459"/>
      <w:bookmarkEnd w:id="112"/>
      <w:r w:rsidR="00755F02">
        <w:t xml:space="preserve"> –</w:t>
      </w:r>
      <w:bookmarkStart w:id="116" w:name="_Toc120358598"/>
      <w:bookmarkStart w:id="117" w:name="_Toc175381460"/>
      <w:bookmarkEnd w:id="114"/>
      <w:bookmarkEnd w:id="115"/>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13"/>
      <w:r w:rsidR="00456BD5">
        <w:rPr>
          <w:i/>
        </w:rPr>
        <w:t xml:space="preserve"> </w:t>
      </w:r>
    </w:p>
    <w:p w14:paraId="4DBED0AB" w14:textId="77777777" w:rsidR="007C09EA" w:rsidRPr="00D42EB3" w:rsidRDefault="007C09EA" w:rsidP="007C09EA">
      <w:pPr>
        <w:tabs>
          <w:tab w:val="left" w:pos="851"/>
        </w:tabs>
        <w:rPr>
          <w:noProof/>
          <w:color w:val="000000" w:themeColor="text1"/>
          <w:sz w:val="20"/>
          <w:szCs w:val="20"/>
          <w:lang w:val="en-AU" w:eastAsia="en-AU"/>
        </w:rPr>
      </w:pPr>
      <w:r w:rsidRPr="00D42EB3">
        <w:rPr>
          <w:noProof/>
          <w:color w:val="000000" w:themeColor="text1"/>
          <w:sz w:val="20"/>
          <w:szCs w:val="20"/>
          <w:lang w:eastAsia="en-GB" w:bidi="ar-SA"/>
        </w:rPr>
        <w:drawing>
          <wp:inline distT="0" distB="0" distL="0" distR="0" wp14:anchorId="7EEAEBF2" wp14:editId="156A9662">
            <wp:extent cx="2654300" cy="438150"/>
            <wp:effectExtent l="0" t="0" r="0"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2C581307" w14:textId="77777777" w:rsidR="007C09EA" w:rsidRPr="00D42EB3" w:rsidRDefault="007C09EA" w:rsidP="007C09EA">
      <w:pPr>
        <w:pBdr>
          <w:bottom w:val="single" w:sz="4" w:space="1" w:color="auto"/>
        </w:pBdr>
        <w:tabs>
          <w:tab w:val="left" w:pos="851"/>
        </w:tabs>
        <w:jc w:val="center"/>
        <w:rPr>
          <w:color w:val="000000" w:themeColor="text1"/>
          <w:sz w:val="20"/>
          <w:szCs w:val="20"/>
          <w:lang w:eastAsia="en-GB"/>
        </w:rPr>
      </w:pPr>
    </w:p>
    <w:p w14:paraId="49DEC464" w14:textId="77777777" w:rsidR="007C09EA" w:rsidRPr="00D42EB3" w:rsidRDefault="007C09EA" w:rsidP="007C09EA">
      <w:pPr>
        <w:pBdr>
          <w:bottom w:val="single" w:sz="4" w:space="1" w:color="auto"/>
        </w:pBdr>
        <w:tabs>
          <w:tab w:val="left" w:pos="851"/>
        </w:tabs>
        <w:rPr>
          <w:b/>
          <w:color w:val="000000" w:themeColor="text1"/>
          <w:sz w:val="20"/>
          <w:szCs w:val="20"/>
        </w:rPr>
      </w:pPr>
      <w:r w:rsidRPr="00D42EB3">
        <w:rPr>
          <w:rFonts w:cs="Arial"/>
          <w:b/>
          <w:color w:val="000000" w:themeColor="text1"/>
          <w:sz w:val="20"/>
          <w:szCs w:val="20"/>
        </w:rPr>
        <w:t xml:space="preserve">Food Standards (Application </w:t>
      </w:r>
      <w:r>
        <w:rPr>
          <w:b/>
          <w:color w:val="000000" w:themeColor="text1"/>
          <w:sz w:val="20"/>
          <w:szCs w:val="20"/>
        </w:rPr>
        <w:t>A1137</w:t>
      </w:r>
      <w:r w:rsidRPr="00D42EB3">
        <w:rPr>
          <w:b/>
          <w:color w:val="000000" w:themeColor="text1"/>
          <w:sz w:val="20"/>
          <w:szCs w:val="20"/>
        </w:rPr>
        <w:t xml:space="preserve"> –</w:t>
      </w:r>
      <w:r w:rsidRPr="00D42EB3">
        <w:rPr>
          <w:color w:val="000000" w:themeColor="text1"/>
          <w:szCs w:val="20"/>
        </w:rPr>
        <w:t xml:space="preserve"> </w:t>
      </w:r>
      <w:r w:rsidRPr="00B9711E">
        <w:rPr>
          <w:b/>
          <w:bCs/>
          <w:color w:val="000000" w:themeColor="text1"/>
          <w:sz w:val="20"/>
          <w:szCs w:val="20"/>
        </w:rPr>
        <w:t>Polysorbate 20 as a Food Additive</w:t>
      </w:r>
      <w:r w:rsidRPr="00D42EB3">
        <w:rPr>
          <w:rFonts w:cs="Arial"/>
          <w:b/>
          <w:color w:val="000000" w:themeColor="text1"/>
          <w:sz w:val="20"/>
          <w:szCs w:val="20"/>
        </w:rPr>
        <w:t>)</w:t>
      </w:r>
      <w:r w:rsidRPr="00D42EB3">
        <w:rPr>
          <w:b/>
          <w:color w:val="000000" w:themeColor="text1"/>
          <w:sz w:val="20"/>
          <w:szCs w:val="20"/>
        </w:rPr>
        <w:t xml:space="preserve"> Variation</w:t>
      </w:r>
    </w:p>
    <w:p w14:paraId="022109CC" w14:textId="77777777" w:rsidR="007C09EA" w:rsidRPr="00D42EB3" w:rsidRDefault="007C09EA" w:rsidP="007C09EA">
      <w:pPr>
        <w:pBdr>
          <w:bottom w:val="single" w:sz="4" w:space="1" w:color="auto"/>
        </w:pBdr>
        <w:tabs>
          <w:tab w:val="left" w:pos="851"/>
        </w:tabs>
        <w:rPr>
          <w:b/>
          <w:color w:val="000000" w:themeColor="text1"/>
          <w:sz w:val="20"/>
          <w:szCs w:val="20"/>
        </w:rPr>
      </w:pPr>
    </w:p>
    <w:p w14:paraId="488185F0" w14:textId="77777777" w:rsidR="007C09EA" w:rsidRPr="00D42EB3" w:rsidRDefault="007C09EA" w:rsidP="007C09EA">
      <w:pPr>
        <w:tabs>
          <w:tab w:val="left" w:pos="851"/>
        </w:tabs>
        <w:rPr>
          <w:color w:val="000000" w:themeColor="text1"/>
          <w:sz w:val="20"/>
          <w:szCs w:val="20"/>
        </w:rPr>
      </w:pPr>
    </w:p>
    <w:p w14:paraId="2BFC3630" w14:textId="77777777" w:rsidR="007C09EA" w:rsidRPr="00D42EB3" w:rsidRDefault="007C09EA" w:rsidP="007C09EA">
      <w:pPr>
        <w:tabs>
          <w:tab w:val="left" w:pos="851"/>
        </w:tabs>
        <w:rPr>
          <w:color w:val="000000" w:themeColor="text1"/>
          <w:sz w:val="20"/>
          <w:szCs w:val="20"/>
        </w:rPr>
      </w:pPr>
      <w:r w:rsidRPr="00D42EB3">
        <w:rPr>
          <w:color w:val="000000" w:themeColor="text1"/>
          <w:sz w:val="20"/>
          <w:szCs w:val="20"/>
        </w:rPr>
        <w:t xml:space="preserve">The Board of Food Standards Australia New Zealand gives notice of the making of this variation under section 92 of the </w:t>
      </w:r>
      <w:r w:rsidRPr="00D42EB3">
        <w:rPr>
          <w:i/>
          <w:color w:val="000000" w:themeColor="text1"/>
          <w:sz w:val="20"/>
          <w:szCs w:val="20"/>
        </w:rPr>
        <w:t>Food Standards Australia New Zealand Act 1991</w:t>
      </w:r>
      <w:r w:rsidRPr="00D42EB3">
        <w:rPr>
          <w:color w:val="000000" w:themeColor="text1"/>
          <w:sz w:val="20"/>
          <w:szCs w:val="20"/>
        </w:rPr>
        <w:t>.  The variation commences on the date specified in clause 3 of the variation.</w:t>
      </w:r>
    </w:p>
    <w:p w14:paraId="05B78C6F" w14:textId="77777777" w:rsidR="007C09EA" w:rsidRPr="00D42EB3" w:rsidRDefault="007C09EA" w:rsidP="007C09EA">
      <w:pPr>
        <w:tabs>
          <w:tab w:val="left" w:pos="851"/>
        </w:tabs>
        <w:rPr>
          <w:color w:val="000000" w:themeColor="text1"/>
          <w:sz w:val="20"/>
          <w:szCs w:val="20"/>
        </w:rPr>
      </w:pPr>
    </w:p>
    <w:p w14:paraId="6D932C41" w14:textId="77777777" w:rsidR="007C09EA" w:rsidRPr="00D42EB3" w:rsidRDefault="007C09EA" w:rsidP="007C09EA">
      <w:pPr>
        <w:tabs>
          <w:tab w:val="left" w:pos="851"/>
        </w:tabs>
        <w:rPr>
          <w:color w:val="000000" w:themeColor="text1"/>
          <w:sz w:val="20"/>
          <w:szCs w:val="20"/>
        </w:rPr>
      </w:pPr>
      <w:r w:rsidRPr="00D42EB3">
        <w:rPr>
          <w:color w:val="000000" w:themeColor="text1"/>
          <w:sz w:val="20"/>
          <w:szCs w:val="20"/>
        </w:rPr>
        <w:t>Dated [To be completed by Standards Management Officer]</w:t>
      </w:r>
    </w:p>
    <w:p w14:paraId="4215A0B7" w14:textId="77777777" w:rsidR="007C09EA" w:rsidRPr="00D42EB3" w:rsidRDefault="007C09EA" w:rsidP="007C09EA">
      <w:pPr>
        <w:tabs>
          <w:tab w:val="left" w:pos="851"/>
        </w:tabs>
        <w:rPr>
          <w:color w:val="000000" w:themeColor="text1"/>
          <w:sz w:val="20"/>
          <w:szCs w:val="20"/>
        </w:rPr>
      </w:pPr>
    </w:p>
    <w:p w14:paraId="52C363EC" w14:textId="77777777" w:rsidR="007C09EA" w:rsidRPr="00D42EB3" w:rsidRDefault="007C09EA" w:rsidP="007C09EA">
      <w:pPr>
        <w:tabs>
          <w:tab w:val="left" w:pos="851"/>
        </w:tabs>
        <w:rPr>
          <w:color w:val="000000" w:themeColor="text1"/>
          <w:sz w:val="20"/>
          <w:szCs w:val="20"/>
        </w:rPr>
      </w:pPr>
    </w:p>
    <w:p w14:paraId="2CDD2D9A" w14:textId="77777777" w:rsidR="007C09EA" w:rsidRPr="00D42EB3" w:rsidRDefault="007C09EA" w:rsidP="007C09EA">
      <w:pPr>
        <w:tabs>
          <w:tab w:val="left" w:pos="851"/>
        </w:tabs>
        <w:rPr>
          <w:color w:val="000000" w:themeColor="text1"/>
          <w:sz w:val="20"/>
          <w:szCs w:val="20"/>
        </w:rPr>
      </w:pPr>
    </w:p>
    <w:p w14:paraId="3C2B30C2" w14:textId="77777777" w:rsidR="007C09EA" w:rsidRPr="00D42EB3" w:rsidRDefault="007C09EA" w:rsidP="007C09EA">
      <w:pPr>
        <w:tabs>
          <w:tab w:val="left" w:pos="851"/>
        </w:tabs>
        <w:rPr>
          <w:color w:val="000000" w:themeColor="text1"/>
          <w:sz w:val="20"/>
          <w:szCs w:val="20"/>
        </w:rPr>
      </w:pPr>
    </w:p>
    <w:p w14:paraId="5FFA44B6" w14:textId="77777777" w:rsidR="007C09EA" w:rsidRPr="00D42EB3" w:rsidRDefault="007C09EA" w:rsidP="007C09EA">
      <w:pPr>
        <w:tabs>
          <w:tab w:val="left" w:pos="851"/>
        </w:tabs>
        <w:rPr>
          <w:color w:val="000000" w:themeColor="text1"/>
          <w:sz w:val="20"/>
          <w:szCs w:val="20"/>
        </w:rPr>
      </w:pPr>
    </w:p>
    <w:p w14:paraId="1F2AE9D6" w14:textId="77777777" w:rsidR="007C09EA" w:rsidRPr="00D42EB3" w:rsidRDefault="007C09EA" w:rsidP="007C09EA">
      <w:pPr>
        <w:tabs>
          <w:tab w:val="left" w:pos="851"/>
        </w:tabs>
        <w:rPr>
          <w:color w:val="000000" w:themeColor="text1"/>
          <w:sz w:val="20"/>
          <w:szCs w:val="20"/>
        </w:rPr>
      </w:pPr>
      <w:r w:rsidRPr="00D42EB3">
        <w:rPr>
          <w:color w:val="000000" w:themeColor="text1"/>
          <w:sz w:val="20"/>
          <w:szCs w:val="20"/>
        </w:rPr>
        <w:t>Standards Management Officer</w:t>
      </w:r>
    </w:p>
    <w:p w14:paraId="4C5989EA" w14:textId="77777777" w:rsidR="007C09EA" w:rsidRPr="00D42EB3" w:rsidRDefault="007C09EA" w:rsidP="007C09EA">
      <w:pPr>
        <w:tabs>
          <w:tab w:val="left" w:pos="851"/>
        </w:tabs>
        <w:rPr>
          <w:color w:val="000000" w:themeColor="text1"/>
          <w:sz w:val="20"/>
          <w:szCs w:val="20"/>
        </w:rPr>
      </w:pPr>
      <w:r w:rsidRPr="00D42EB3">
        <w:rPr>
          <w:color w:val="000000" w:themeColor="text1"/>
          <w:sz w:val="20"/>
          <w:szCs w:val="20"/>
        </w:rPr>
        <w:t>Delegate of the Board of Food Standards Australia New Zealand</w:t>
      </w:r>
    </w:p>
    <w:p w14:paraId="220CA150" w14:textId="77777777" w:rsidR="007C09EA" w:rsidRPr="00D42EB3" w:rsidRDefault="007C09EA" w:rsidP="007C09EA">
      <w:pPr>
        <w:tabs>
          <w:tab w:val="left" w:pos="851"/>
        </w:tabs>
        <w:rPr>
          <w:color w:val="000000" w:themeColor="text1"/>
          <w:sz w:val="20"/>
          <w:szCs w:val="20"/>
        </w:rPr>
      </w:pPr>
    </w:p>
    <w:p w14:paraId="59954298" w14:textId="77777777" w:rsidR="007C09EA" w:rsidRPr="00D42EB3" w:rsidRDefault="007C09EA" w:rsidP="007C09EA">
      <w:pPr>
        <w:tabs>
          <w:tab w:val="left" w:pos="851"/>
        </w:tabs>
        <w:rPr>
          <w:sz w:val="20"/>
          <w:szCs w:val="20"/>
        </w:rPr>
      </w:pPr>
    </w:p>
    <w:p w14:paraId="4E289477" w14:textId="77777777" w:rsidR="007C09EA" w:rsidRPr="00D42EB3" w:rsidRDefault="007C09EA" w:rsidP="007C09EA">
      <w:pPr>
        <w:tabs>
          <w:tab w:val="left" w:pos="851"/>
        </w:tabs>
        <w:rPr>
          <w:sz w:val="20"/>
          <w:szCs w:val="20"/>
        </w:rPr>
      </w:pPr>
    </w:p>
    <w:p w14:paraId="05D46B81" w14:textId="77777777" w:rsidR="007C09EA" w:rsidRPr="00D42EB3" w:rsidRDefault="007C09EA" w:rsidP="007C09EA">
      <w:pPr>
        <w:tabs>
          <w:tab w:val="left" w:pos="851"/>
        </w:tabs>
        <w:rPr>
          <w:sz w:val="20"/>
          <w:szCs w:val="20"/>
        </w:rPr>
      </w:pPr>
    </w:p>
    <w:p w14:paraId="412CF846" w14:textId="77777777" w:rsidR="007C09EA" w:rsidRPr="00D42EB3" w:rsidRDefault="007C09EA" w:rsidP="007C09EA">
      <w:pPr>
        <w:tabs>
          <w:tab w:val="left" w:pos="851"/>
        </w:tabs>
        <w:rPr>
          <w:sz w:val="20"/>
          <w:szCs w:val="20"/>
        </w:rPr>
      </w:pPr>
    </w:p>
    <w:p w14:paraId="753D690C" w14:textId="77777777" w:rsidR="007C09EA" w:rsidRPr="00D42EB3" w:rsidRDefault="007C09EA" w:rsidP="007C09EA">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42EB3">
        <w:rPr>
          <w:b/>
          <w:sz w:val="20"/>
          <w:szCs w:val="20"/>
          <w:lang w:val="en-AU"/>
        </w:rPr>
        <w:t xml:space="preserve">Note:  </w:t>
      </w:r>
    </w:p>
    <w:p w14:paraId="4FF3E679" w14:textId="77777777" w:rsidR="007C09EA" w:rsidRPr="00D42EB3" w:rsidRDefault="007C09EA" w:rsidP="007C09EA">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5ADD8633" w14:textId="77777777" w:rsidR="007C09EA" w:rsidRPr="00D42EB3" w:rsidRDefault="007C09EA" w:rsidP="007C09EA">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42EB3">
        <w:rPr>
          <w:sz w:val="20"/>
          <w:szCs w:val="20"/>
          <w:lang w:val="en-AU"/>
        </w:rPr>
        <w:t xml:space="preserve">This variation will be published in the Commonwealth of Australia Gazette No. FSC </w:t>
      </w:r>
      <w:r w:rsidRPr="00D42EB3">
        <w:rPr>
          <w:color w:val="FF0000"/>
          <w:sz w:val="20"/>
          <w:szCs w:val="20"/>
          <w:lang w:val="en-AU"/>
        </w:rPr>
        <w:t>XX on XX Month 20XX</w:t>
      </w:r>
      <w:r w:rsidRPr="00D42EB3">
        <w:rPr>
          <w:sz w:val="20"/>
          <w:szCs w:val="20"/>
          <w:lang w:val="en-AU"/>
        </w:rPr>
        <w:t>. This means that this date is the gazettal date for the purposes of the above notice.</w:t>
      </w:r>
    </w:p>
    <w:p w14:paraId="7F722EFC" w14:textId="77777777" w:rsidR="007C09EA" w:rsidRPr="00D42EB3" w:rsidRDefault="007C09EA" w:rsidP="007C09EA">
      <w:pPr>
        <w:tabs>
          <w:tab w:val="left" w:pos="851"/>
        </w:tabs>
        <w:rPr>
          <w:szCs w:val="20"/>
        </w:rPr>
      </w:pPr>
    </w:p>
    <w:p w14:paraId="5A817F4B" w14:textId="77777777" w:rsidR="007C09EA" w:rsidRPr="00D42EB3" w:rsidRDefault="007C09EA" w:rsidP="007C09EA">
      <w:pPr>
        <w:tabs>
          <w:tab w:val="left" w:pos="851"/>
        </w:tabs>
        <w:rPr>
          <w:szCs w:val="20"/>
        </w:rPr>
      </w:pPr>
      <w:r w:rsidRPr="00D42EB3">
        <w:rPr>
          <w:szCs w:val="20"/>
        </w:rPr>
        <w:br w:type="page"/>
      </w:r>
    </w:p>
    <w:p w14:paraId="34FD42ED" w14:textId="77777777" w:rsidR="007C09EA" w:rsidRPr="00D42EB3" w:rsidRDefault="007C09EA" w:rsidP="007C09EA">
      <w:pPr>
        <w:spacing w:before="120" w:after="120"/>
        <w:ind w:left="851" w:hanging="851"/>
        <w:rPr>
          <w:b/>
          <w:sz w:val="20"/>
          <w:szCs w:val="20"/>
        </w:rPr>
      </w:pPr>
      <w:bookmarkStart w:id="118" w:name="_Toc414880389"/>
      <w:bookmarkStart w:id="119" w:name="_Toc420055543"/>
      <w:bookmarkStart w:id="120" w:name="_Toc430770446"/>
      <w:r w:rsidRPr="00D42EB3">
        <w:rPr>
          <w:b/>
          <w:sz w:val="20"/>
          <w:szCs w:val="20"/>
        </w:rPr>
        <w:lastRenderedPageBreak/>
        <w:t>1</w:t>
      </w:r>
      <w:r w:rsidRPr="00D42EB3">
        <w:rPr>
          <w:b/>
          <w:sz w:val="20"/>
          <w:szCs w:val="20"/>
        </w:rPr>
        <w:tab/>
        <w:t>Name</w:t>
      </w:r>
    </w:p>
    <w:p w14:paraId="72FD6067" w14:textId="77777777" w:rsidR="007C09EA" w:rsidRPr="00D42EB3" w:rsidRDefault="007C09EA" w:rsidP="007C09EA">
      <w:pPr>
        <w:tabs>
          <w:tab w:val="left" w:pos="851"/>
        </w:tabs>
        <w:spacing w:before="120" w:after="120"/>
        <w:rPr>
          <w:sz w:val="20"/>
          <w:szCs w:val="20"/>
        </w:rPr>
      </w:pPr>
      <w:r w:rsidRPr="00D42EB3">
        <w:rPr>
          <w:sz w:val="20"/>
          <w:szCs w:val="20"/>
        </w:rPr>
        <w:t xml:space="preserve">This instrument is the </w:t>
      </w:r>
      <w:r w:rsidRPr="00D42EB3">
        <w:rPr>
          <w:i/>
          <w:sz w:val="20"/>
          <w:szCs w:val="20"/>
        </w:rPr>
        <w:t>F</w:t>
      </w:r>
      <w:r>
        <w:rPr>
          <w:i/>
          <w:sz w:val="20"/>
          <w:szCs w:val="20"/>
        </w:rPr>
        <w:t>ood Standards (Application A1137</w:t>
      </w:r>
      <w:r w:rsidRPr="00D42EB3">
        <w:rPr>
          <w:i/>
          <w:sz w:val="20"/>
          <w:szCs w:val="20"/>
        </w:rPr>
        <w:t xml:space="preserve"> – </w:t>
      </w:r>
      <w:r w:rsidRPr="00B9711E">
        <w:rPr>
          <w:i/>
          <w:sz w:val="20"/>
          <w:szCs w:val="20"/>
        </w:rPr>
        <w:t>Polysorbate 20 as a Food Additive</w:t>
      </w:r>
      <w:r w:rsidRPr="00D42EB3">
        <w:rPr>
          <w:i/>
          <w:sz w:val="20"/>
          <w:szCs w:val="20"/>
        </w:rPr>
        <w:t>) Variation</w:t>
      </w:r>
      <w:r w:rsidRPr="00D42EB3">
        <w:rPr>
          <w:sz w:val="20"/>
          <w:szCs w:val="20"/>
        </w:rPr>
        <w:t>.</w:t>
      </w:r>
    </w:p>
    <w:p w14:paraId="7D68353E" w14:textId="77777777" w:rsidR="007C09EA" w:rsidRPr="00D42EB3" w:rsidRDefault="007C09EA" w:rsidP="007C09EA">
      <w:pPr>
        <w:spacing w:before="120" w:after="120"/>
        <w:ind w:left="851" w:hanging="851"/>
        <w:rPr>
          <w:b/>
          <w:sz w:val="20"/>
          <w:szCs w:val="20"/>
        </w:rPr>
      </w:pPr>
      <w:r w:rsidRPr="00D42EB3">
        <w:rPr>
          <w:b/>
          <w:sz w:val="20"/>
          <w:szCs w:val="20"/>
        </w:rPr>
        <w:t>2</w:t>
      </w:r>
      <w:r w:rsidRPr="00D42EB3">
        <w:rPr>
          <w:b/>
          <w:sz w:val="20"/>
          <w:szCs w:val="20"/>
        </w:rPr>
        <w:tab/>
        <w:t xml:space="preserve">Variation to a Standard in the </w:t>
      </w:r>
      <w:r w:rsidRPr="00D42EB3">
        <w:rPr>
          <w:b/>
          <w:i/>
          <w:sz w:val="20"/>
          <w:szCs w:val="20"/>
        </w:rPr>
        <w:t>Australia New Zealand Food Standards Code</w:t>
      </w:r>
    </w:p>
    <w:p w14:paraId="21CF8609" w14:textId="77777777" w:rsidR="007C09EA" w:rsidRPr="00D42EB3" w:rsidRDefault="007C09EA" w:rsidP="007C09EA">
      <w:pPr>
        <w:tabs>
          <w:tab w:val="left" w:pos="851"/>
        </w:tabs>
        <w:spacing w:before="120" w:after="120"/>
        <w:rPr>
          <w:sz w:val="20"/>
          <w:szCs w:val="20"/>
        </w:rPr>
      </w:pPr>
      <w:r w:rsidRPr="00D42EB3">
        <w:rPr>
          <w:sz w:val="20"/>
          <w:szCs w:val="20"/>
        </w:rPr>
        <w:t xml:space="preserve">The Schedule varies a standard in the </w:t>
      </w:r>
      <w:r w:rsidRPr="00D42EB3">
        <w:rPr>
          <w:i/>
          <w:sz w:val="20"/>
          <w:szCs w:val="20"/>
        </w:rPr>
        <w:t>Australia New Zealand Food Standards Code</w:t>
      </w:r>
      <w:r w:rsidRPr="00D42EB3">
        <w:rPr>
          <w:sz w:val="20"/>
          <w:szCs w:val="20"/>
        </w:rPr>
        <w:t>.</w:t>
      </w:r>
    </w:p>
    <w:p w14:paraId="3155BA26" w14:textId="77777777" w:rsidR="007C09EA" w:rsidRPr="00D42EB3" w:rsidRDefault="007C09EA" w:rsidP="007C09EA">
      <w:pPr>
        <w:spacing w:before="120" w:after="120"/>
        <w:ind w:left="851" w:hanging="851"/>
        <w:rPr>
          <w:b/>
          <w:sz w:val="20"/>
          <w:szCs w:val="20"/>
        </w:rPr>
      </w:pPr>
      <w:r w:rsidRPr="00D42EB3">
        <w:rPr>
          <w:b/>
          <w:sz w:val="20"/>
          <w:szCs w:val="20"/>
        </w:rPr>
        <w:t>3</w:t>
      </w:r>
      <w:r w:rsidRPr="00D42EB3">
        <w:rPr>
          <w:b/>
          <w:sz w:val="20"/>
          <w:szCs w:val="20"/>
        </w:rPr>
        <w:tab/>
        <w:t>Commencement</w:t>
      </w:r>
    </w:p>
    <w:p w14:paraId="40D30418" w14:textId="77777777" w:rsidR="007C09EA" w:rsidRPr="00D42EB3" w:rsidRDefault="007C09EA" w:rsidP="007C09EA">
      <w:pPr>
        <w:tabs>
          <w:tab w:val="left" w:pos="851"/>
        </w:tabs>
        <w:spacing w:before="120" w:after="120"/>
        <w:rPr>
          <w:sz w:val="20"/>
          <w:szCs w:val="20"/>
        </w:rPr>
      </w:pPr>
      <w:r w:rsidRPr="00D42EB3">
        <w:rPr>
          <w:sz w:val="20"/>
          <w:szCs w:val="20"/>
        </w:rPr>
        <w:t>The variation commences on the date of gazettal.</w:t>
      </w:r>
      <w:r>
        <w:rPr>
          <w:sz w:val="20"/>
          <w:szCs w:val="20"/>
        </w:rPr>
        <w:br/>
      </w:r>
    </w:p>
    <w:p w14:paraId="7A50E0B6" w14:textId="77777777" w:rsidR="007C09EA" w:rsidRPr="00D42EB3" w:rsidRDefault="007C09EA" w:rsidP="007C09EA">
      <w:pPr>
        <w:spacing w:before="120" w:after="120"/>
        <w:ind w:left="851" w:hanging="851"/>
        <w:jc w:val="center"/>
        <w:rPr>
          <w:b/>
          <w:sz w:val="20"/>
          <w:szCs w:val="20"/>
        </w:rPr>
      </w:pPr>
      <w:r w:rsidRPr="00D42EB3">
        <w:rPr>
          <w:b/>
          <w:sz w:val="20"/>
          <w:szCs w:val="20"/>
        </w:rPr>
        <w:t>Schedule</w:t>
      </w:r>
    </w:p>
    <w:p w14:paraId="0BC997B6" w14:textId="77777777" w:rsidR="007C09EA" w:rsidRPr="00D42EB3" w:rsidRDefault="007C09EA" w:rsidP="007C09EA">
      <w:pPr>
        <w:spacing w:before="120" w:after="120"/>
        <w:ind w:left="851" w:hanging="851"/>
        <w:rPr>
          <w:sz w:val="20"/>
          <w:szCs w:val="20"/>
        </w:rPr>
      </w:pPr>
      <w:r>
        <w:rPr>
          <w:b/>
          <w:sz w:val="20"/>
          <w:szCs w:val="20"/>
        </w:rPr>
        <w:t>[1]</w:t>
      </w:r>
      <w:r>
        <w:rPr>
          <w:b/>
          <w:sz w:val="20"/>
          <w:szCs w:val="20"/>
        </w:rPr>
        <w:tab/>
        <w:t>Schedule 8</w:t>
      </w:r>
      <w:r w:rsidRPr="00D42EB3">
        <w:rPr>
          <w:b/>
          <w:sz w:val="20"/>
          <w:szCs w:val="20"/>
        </w:rPr>
        <w:t xml:space="preserve"> </w:t>
      </w:r>
      <w:r w:rsidRPr="00D42EB3">
        <w:rPr>
          <w:sz w:val="20"/>
          <w:szCs w:val="20"/>
        </w:rPr>
        <w:t xml:space="preserve">is varied by </w:t>
      </w:r>
    </w:p>
    <w:p w14:paraId="4FCDE2AE" w14:textId="77777777" w:rsidR="007C09EA" w:rsidRPr="00D42EB3" w:rsidRDefault="007C09EA" w:rsidP="007C09EA">
      <w:pPr>
        <w:tabs>
          <w:tab w:val="left" w:pos="1701"/>
        </w:tabs>
        <w:spacing w:before="60" w:after="60"/>
        <w:rPr>
          <w:rFonts w:cs="Arial"/>
          <w:iCs/>
          <w:sz w:val="20"/>
          <w:lang w:eastAsia="en-AU"/>
        </w:rPr>
      </w:pPr>
    </w:p>
    <w:p w14:paraId="287E0494" w14:textId="77777777" w:rsidR="007C09EA" w:rsidRDefault="007C09EA" w:rsidP="007C09EA">
      <w:pPr>
        <w:tabs>
          <w:tab w:val="left" w:pos="851"/>
        </w:tabs>
        <w:spacing w:before="60" w:after="60"/>
        <w:rPr>
          <w:rFonts w:cs="Arial"/>
          <w:iCs/>
          <w:sz w:val="20"/>
          <w:lang w:eastAsia="en-AU"/>
        </w:rPr>
      </w:pPr>
      <w:r>
        <w:rPr>
          <w:rFonts w:cs="Arial"/>
          <w:b/>
          <w:iCs/>
          <w:sz w:val="20"/>
          <w:lang w:eastAsia="en-AU"/>
        </w:rPr>
        <w:t>[1</w:t>
      </w:r>
      <w:r w:rsidRPr="00964ECB">
        <w:rPr>
          <w:rFonts w:cs="Arial"/>
          <w:b/>
          <w:iCs/>
          <w:sz w:val="20"/>
          <w:lang w:eastAsia="en-AU"/>
        </w:rPr>
        <w:t>.1]</w:t>
      </w:r>
      <w:r w:rsidRPr="00964ECB">
        <w:rPr>
          <w:rFonts w:cs="Arial"/>
          <w:b/>
          <w:iCs/>
          <w:sz w:val="20"/>
          <w:lang w:eastAsia="en-AU"/>
        </w:rPr>
        <w:tab/>
      </w:r>
      <w:r w:rsidRPr="00964ECB">
        <w:rPr>
          <w:rFonts w:cs="Arial"/>
          <w:iCs/>
          <w:sz w:val="20"/>
          <w:lang w:eastAsia="en-AU"/>
        </w:rPr>
        <w:t>omitting</w:t>
      </w:r>
      <w:r>
        <w:rPr>
          <w:rFonts w:cs="Arial"/>
          <w:iCs/>
          <w:sz w:val="20"/>
          <w:lang w:eastAsia="en-AU"/>
        </w:rPr>
        <w:t xml:space="preserve"> the following from </w:t>
      </w:r>
      <w:r w:rsidRPr="00964ECB">
        <w:rPr>
          <w:rFonts w:cs="Arial"/>
          <w:iCs/>
          <w:sz w:val="20"/>
          <w:lang w:eastAsia="en-AU"/>
        </w:rPr>
        <w:t xml:space="preserve">the </w:t>
      </w:r>
      <w:r>
        <w:rPr>
          <w:rFonts w:cs="Arial"/>
          <w:iCs/>
          <w:sz w:val="20"/>
          <w:lang w:eastAsia="en-AU"/>
        </w:rPr>
        <w:t>table to section S8—2</w:t>
      </w:r>
      <w:r w:rsidRPr="00964ECB">
        <w:rPr>
          <w:rFonts w:cs="Arial"/>
          <w:iCs/>
          <w:sz w:val="20"/>
          <w:lang w:eastAsia="en-AU"/>
        </w:rPr>
        <w:t>,</w:t>
      </w:r>
    </w:p>
    <w:p w14:paraId="058273AB" w14:textId="77777777" w:rsidR="007C09EA" w:rsidRPr="00964ECB" w:rsidRDefault="007C09EA" w:rsidP="007C09EA">
      <w:pPr>
        <w:tabs>
          <w:tab w:val="left" w:pos="851"/>
        </w:tabs>
        <w:spacing w:before="60" w:after="60"/>
        <w:rPr>
          <w:rFonts w:cs="Arial"/>
          <w:iCs/>
          <w:sz w:val="20"/>
          <w:lang w:eastAsia="en-AU"/>
        </w:rPr>
      </w:pPr>
    </w:p>
    <w:tbl>
      <w:tblPr>
        <w:tblStyle w:val="TableGrid2"/>
        <w:tblW w:w="4422" w:type="dxa"/>
        <w:tblInd w:w="-108" w:type="dxa"/>
        <w:tblLook w:val="04A0" w:firstRow="1" w:lastRow="0" w:firstColumn="1" w:lastColumn="0" w:noHBand="0" w:noVBand="1"/>
      </w:tblPr>
      <w:tblGrid>
        <w:gridCol w:w="3402"/>
        <w:gridCol w:w="1020"/>
      </w:tblGrid>
      <w:tr w:rsidR="007C09EA" w:rsidRPr="00FC3654" w14:paraId="29728836" w14:textId="77777777" w:rsidTr="005B1769">
        <w:trPr>
          <w:cantSplit/>
        </w:trPr>
        <w:tc>
          <w:tcPr>
            <w:tcW w:w="3402" w:type="dxa"/>
            <w:tcBorders>
              <w:top w:val="nil"/>
              <w:left w:val="nil"/>
              <w:bottom w:val="nil"/>
              <w:right w:val="nil"/>
            </w:tcBorders>
          </w:tcPr>
          <w:p w14:paraId="789C08B0" w14:textId="77777777" w:rsidR="007C09EA" w:rsidRPr="00FC3654" w:rsidRDefault="007C09EA" w:rsidP="005B1769">
            <w:pPr>
              <w:pStyle w:val="FSCtblMain"/>
            </w:pPr>
            <w:r w:rsidRPr="00FC3654">
              <w:t>Polyoxyethylene (40) stearate</w:t>
            </w:r>
          </w:p>
        </w:tc>
        <w:tc>
          <w:tcPr>
            <w:tcW w:w="1020" w:type="dxa"/>
            <w:tcBorders>
              <w:top w:val="nil"/>
              <w:left w:val="nil"/>
              <w:bottom w:val="nil"/>
              <w:right w:val="nil"/>
            </w:tcBorders>
          </w:tcPr>
          <w:p w14:paraId="1506302A" w14:textId="77777777" w:rsidR="007C09EA" w:rsidRPr="00FC3654" w:rsidRDefault="007C09EA" w:rsidP="005B1769">
            <w:pPr>
              <w:pStyle w:val="FSCtblMain"/>
            </w:pPr>
            <w:r w:rsidRPr="00FC3654">
              <w:t>431</w:t>
            </w:r>
          </w:p>
        </w:tc>
      </w:tr>
    </w:tbl>
    <w:p w14:paraId="29E04800" w14:textId="77777777" w:rsidR="007C09EA" w:rsidRPr="00964ECB" w:rsidRDefault="007C09EA" w:rsidP="007C09EA">
      <w:pPr>
        <w:tabs>
          <w:tab w:val="left" w:pos="851"/>
        </w:tabs>
        <w:spacing w:before="60" w:after="60"/>
        <w:rPr>
          <w:rFonts w:cs="Arial"/>
          <w:iCs/>
          <w:sz w:val="20"/>
          <w:lang w:eastAsia="en-AU"/>
        </w:rPr>
      </w:pPr>
      <w:r>
        <w:rPr>
          <w:rFonts w:cs="Arial"/>
          <w:iCs/>
          <w:sz w:val="20"/>
          <w:lang w:eastAsia="en-AU"/>
        </w:rPr>
        <w:br/>
      </w:r>
      <w:r w:rsidRPr="00964ECB">
        <w:rPr>
          <w:rFonts w:cs="Arial"/>
          <w:iCs/>
          <w:sz w:val="20"/>
          <w:lang w:eastAsia="en-AU"/>
        </w:rPr>
        <w:t>substituting</w:t>
      </w:r>
    </w:p>
    <w:p w14:paraId="1C36ED50" w14:textId="77777777" w:rsidR="007C09EA" w:rsidRDefault="007C09EA" w:rsidP="007C09EA">
      <w:pPr>
        <w:tabs>
          <w:tab w:val="left" w:pos="851"/>
        </w:tabs>
        <w:spacing w:before="60" w:after="60"/>
        <w:rPr>
          <w:rFonts w:cs="Arial"/>
          <w:iCs/>
          <w:sz w:val="20"/>
          <w:lang w:eastAsia="en-AU"/>
        </w:rPr>
      </w:pPr>
    </w:p>
    <w:tbl>
      <w:tblPr>
        <w:tblStyle w:val="TableGrid3"/>
        <w:tblW w:w="4422" w:type="dxa"/>
        <w:tblInd w:w="-108" w:type="dxa"/>
        <w:tblLook w:val="04A0" w:firstRow="1" w:lastRow="0" w:firstColumn="1" w:lastColumn="0" w:noHBand="0" w:noVBand="1"/>
      </w:tblPr>
      <w:tblGrid>
        <w:gridCol w:w="3402"/>
        <w:gridCol w:w="1020"/>
      </w:tblGrid>
      <w:tr w:rsidR="007C09EA" w:rsidRPr="00FC3654" w14:paraId="6D37653E" w14:textId="77777777" w:rsidTr="005B1769">
        <w:trPr>
          <w:cantSplit/>
        </w:trPr>
        <w:tc>
          <w:tcPr>
            <w:tcW w:w="3402" w:type="dxa"/>
            <w:tcBorders>
              <w:top w:val="nil"/>
              <w:left w:val="nil"/>
              <w:bottom w:val="nil"/>
              <w:right w:val="nil"/>
            </w:tcBorders>
          </w:tcPr>
          <w:p w14:paraId="023ACA37" w14:textId="77777777" w:rsidR="007C09EA" w:rsidRPr="00FC3654" w:rsidRDefault="007C09EA" w:rsidP="005B1769">
            <w:pPr>
              <w:pStyle w:val="FSCtblMain"/>
            </w:pPr>
            <w:r w:rsidRPr="00FC3654">
              <w:t>Polyoxyethylene (40) stearate</w:t>
            </w:r>
          </w:p>
        </w:tc>
        <w:tc>
          <w:tcPr>
            <w:tcW w:w="1020" w:type="dxa"/>
            <w:tcBorders>
              <w:top w:val="nil"/>
              <w:left w:val="nil"/>
              <w:bottom w:val="nil"/>
              <w:right w:val="nil"/>
            </w:tcBorders>
          </w:tcPr>
          <w:p w14:paraId="246C63A5" w14:textId="77777777" w:rsidR="007C09EA" w:rsidRPr="00FC3654" w:rsidRDefault="007C09EA" w:rsidP="005B1769">
            <w:pPr>
              <w:pStyle w:val="FSCtblMain"/>
            </w:pPr>
            <w:r w:rsidRPr="00FC3654">
              <w:t>431</w:t>
            </w:r>
          </w:p>
        </w:tc>
      </w:tr>
      <w:tr w:rsidR="007C09EA" w:rsidRPr="00FC3654" w14:paraId="699F385A" w14:textId="77777777" w:rsidTr="005B1769">
        <w:trPr>
          <w:cantSplit/>
        </w:trPr>
        <w:tc>
          <w:tcPr>
            <w:tcW w:w="3402" w:type="dxa"/>
            <w:tcBorders>
              <w:top w:val="nil"/>
              <w:left w:val="nil"/>
              <w:bottom w:val="nil"/>
              <w:right w:val="nil"/>
            </w:tcBorders>
          </w:tcPr>
          <w:p w14:paraId="0133E421" w14:textId="77777777" w:rsidR="007C09EA" w:rsidRPr="00FC3654" w:rsidRDefault="007C09EA" w:rsidP="005B1769">
            <w:pPr>
              <w:pStyle w:val="FSCtblMain"/>
            </w:pPr>
            <w:r w:rsidRPr="00FC3654">
              <w:t xml:space="preserve">Polysorbate </w:t>
            </w:r>
            <w:r>
              <w:t>20</w:t>
            </w:r>
            <w:r w:rsidRPr="00FC3654">
              <w:t xml:space="preserve"> or Polyoxy</w:t>
            </w:r>
            <w:r>
              <w:t xml:space="preserve">ethylene (20)     sorbitan </w:t>
            </w:r>
            <w:r w:rsidRPr="00964ECB">
              <w:t>monolaurate</w:t>
            </w:r>
          </w:p>
        </w:tc>
        <w:tc>
          <w:tcPr>
            <w:tcW w:w="1020" w:type="dxa"/>
            <w:tcBorders>
              <w:top w:val="nil"/>
              <w:left w:val="nil"/>
              <w:bottom w:val="nil"/>
              <w:right w:val="nil"/>
            </w:tcBorders>
          </w:tcPr>
          <w:p w14:paraId="3EC368FB" w14:textId="77777777" w:rsidR="007C09EA" w:rsidRPr="00FC3654" w:rsidRDefault="007C09EA" w:rsidP="005B1769">
            <w:pPr>
              <w:pStyle w:val="FSCtblMain"/>
            </w:pPr>
            <w:r>
              <w:t>432</w:t>
            </w:r>
          </w:p>
        </w:tc>
      </w:tr>
    </w:tbl>
    <w:p w14:paraId="1C41D1D4" w14:textId="77777777" w:rsidR="007C09EA" w:rsidRPr="00964ECB" w:rsidRDefault="007C09EA" w:rsidP="007C09EA">
      <w:pPr>
        <w:tabs>
          <w:tab w:val="left" w:pos="851"/>
        </w:tabs>
        <w:rPr>
          <w:szCs w:val="20"/>
        </w:rPr>
      </w:pPr>
    </w:p>
    <w:p w14:paraId="241B7288" w14:textId="77777777" w:rsidR="007C09EA" w:rsidRDefault="007C09EA" w:rsidP="007C09EA">
      <w:pPr>
        <w:tabs>
          <w:tab w:val="left" w:pos="851"/>
        </w:tabs>
        <w:spacing w:before="60" w:after="60"/>
        <w:rPr>
          <w:rFonts w:cs="Arial"/>
          <w:iCs/>
          <w:sz w:val="20"/>
          <w:lang w:eastAsia="en-AU"/>
        </w:rPr>
      </w:pPr>
      <w:r>
        <w:rPr>
          <w:rFonts w:cs="Arial"/>
          <w:b/>
          <w:iCs/>
          <w:sz w:val="20"/>
          <w:lang w:eastAsia="en-AU"/>
        </w:rPr>
        <w:t>[1</w:t>
      </w:r>
      <w:r w:rsidRPr="00964ECB">
        <w:rPr>
          <w:rFonts w:cs="Arial"/>
          <w:b/>
          <w:iCs/>
          <w:sz w:val="20"/>
          <w:lang w:eastAsia="en-AU"/>
        </w:rPr>
        <w:t>.2]</w:t>
      </w:r>
      <w:r w:rsidRPr="00964ECB">
        <w:rPr>
          <w:rFonts w:cs="Arial"/>
          <w:b/>
          <w:iCs/>
          <w:sz w:val="20"/>
          <w:lang w:eastAsia="en-AU"/>
        </w:rPr>
        <w:tab/>
      </w:r>
      <w:r w:rsidRPr="00964ECB">
        <w:rPr>
          <w:rFonts w:cs="Arial"/>
          <w:iCs/>
          <w:sz w:val="20"/>
          <w:lang w:eastAsia="en-AU"/>
        </w:rPr>
        <w:t xml:space="preserve">omitting the </w:t>
      </w:r>
      <w:r>
        <w:rPr>
          <w:rFonts w:cs="Arial"/>
          <w:iCs/>
          <w:sz w:val="20"/>
          <w:lang w:eastAsia="en-AU"/>
        </w:rPr>
        <w:t xml:space="preserve">following from </w:t>
      </w:r>
      <w:r w:rsidRPr="00964ECB">
        <w:rPr>
          <w:rFonts w:cs="Arial"/>
          <w:iCs/>
          <w:sz w:val="20"/>
          <w:lang w:eastAsia="en-AU"/>
        </w:rPr>
        <w:t xml:space="preserve">the </w:t>
      </w:r>
      <w:r>
        <w:rPr>
          <w:rFonts w:cs="Arial"/>
          <w:iCs/>
          <w:sz w:val="20"/>
          <w:lang w:eastAsia="en-AU"/>
        </w:rPr>
        <w:t>table to section S8—2,</w:t>
      </w:r>
    </w:p>
    <w:p w14:paraId="4C058DF1" w14:textId="77777777" w:rsidR="007C09EA" w:rsidRPr="00964ECB" w:rsidRDefault="007C09EA" w:rsidP="007C09EA">
      <w:pPr>
        <w:tabs>
          <w:tab w:val="left" w:pos="851"/>
        </w:tabs>
        <w:spacing w:before="60" w:after="60"/>
        <w:rPr>
          <w:rFonts w:cs="Arial"/>
          <w:iCs/>
          <w:sz w:val="20"/>
          <w:lang w:eastAsia="en-AU"/>
        </w:rPr>
      </w:pPr>
    </w:p>
    <w:tbl>
      <w:tblPr>
        <w:tblStyle w:val="TableGrid4"/>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7C09EA" w:rsidRPr="00FC3654" w14:paraId="609A3EC5" w14:textId="77777777" w:rsidTr="005B1769">
        <w:trPr>
          <w:cantSplit/>
        </w:trPr>
        <w:tc>
          <w:tcPr>
            <w:tcW w:w="1020" w:type="dxa"/>
          </w:tcPr>
          <w:p w14:paraId="0C233BC8" w14:textId="77777777" w:rsidR="007C09EA" w:rsidRPr="00FC3654" w:rsidRDefault="007C09EA" w:rsidP="005B1769">
            <w:pPr>
              <w:pStyle w:val="FSCtblMain"/>
            </w:pPr>
            <w:r w:rsidRPr="00FC3654">
              <w:t>431</w:t>
            </w:r>
          </w:p>
        </w:tc>
        <w:tc>
          <w:tcPr>
            <w:tcW w:w="3402" w:type="dxa"/>
          </w:tcPr>
          <w:p w14:paraId="3EB92A58" w14:textId="77777777" w:rsidR="007C09EA" w:rsidRPr="00FC3654" w:rsidRDefault="007C09EA" w:rsidP="005B1769">
            <w:pPr>
              <w:pStyle w:val="FSCtblMain"/>
            </w:pPr>
            <w:r w:rsidRPr="00FC3654">
              <w:t>Polyoxyethylene (40) stearate</w:t>
            </w:r>
          </w:p>
        </w:tc>
      </w:tr>
    </w:tbl>
    <w:p w14:paraId="1866EC60" w14:textId="77777777" w:rsidR="007C09EA" w:rsidRDefault="007C09EA" w:rsidP="007C09EA">
      <w:pPr>
        <w:tabs>
          <w:tab w:val="left" w:pos="851"/>
        </w:tabs>
        <w:spacing w:before="60" w:after="60"/>
        <w:rPr>
          <w:rFonts w:cs="Arial"/>
          <w:iCs/>
          <w:sz w:val="20"/>
          <w:lang w:eastAsia="en-AU"/>
        </w:rPr>
      </w:pPr>
      <w:r>
        <w:rPr>
          <w:rFonts w:cs="Arial"/>
          <w:iCs/>
          <w:sz w:val="20"/>
          <w:lang w:eastAsia="en-AU"/>
        </w:rPr>
        <w:br/>
      </w:r>
      <w:r w:rsidRPr="00964ECB">
        <w:rPr>
          <w:rFonts w:cs="Arial"/>
          <w:iCs/>
          <w:sz w:val="20"/>
          <w:lang w:eastAsia="en-AU"/>
        </w:rPr>
        <w:t>substituting</w:t>
      </w:r>
      <w:r w:rsidRPr="00964ECB">
        <w:rPr>
          <w:rFonts w:cs="Arial"/>
          <w:iCs/>
          <w:sz w:val="20"/>
          <w:lang w:eastAsia="en-AU"/>
        </w:rPr>
        <w:br/>
      </w:r>
    </w:p>
    <w:tbl>
      <w:tblPr>
        <w:tblStyle w:val="TableGrid4"/>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7C09EA" w:rsidRPr="00FC3654" w14:paraId="5ADA197D" w14:textId="77777777" w:rsidTr="005B1769">
        <w:trPr>
          <w:cantSplit/>
        </w:trPr>
        <w:tc>
          <w:tcPr>
            <w:tcW w:w="1020" w:type="dxa"/>
          </w:tcPr>
          <w:p w14:paraId="3F86EC6D" w14:textId="77777777" w:rsidR="007C09EA" w:rsidRPr="00FC3654" w:rsidRDefault="007C09EA" w:rsidP="005B1769">
            <w:pPr>
              <w:pStyle w:val="FSCtblMain"/>
            </w:pPr>
            <w:r w:rsidRPr="00FC3654">
              <w:t>431</w:t>
            </w:r>
          </w:p>
        </w:tc>
        <w:tc>
          <w:tcPr>
            <w:tcW w:w="3402" w:type="dxa"/>
          </w:tcPr>
          <w:p w14:paraId="3628EB5D" w14:textId="77777777" w:rsidR="007C09EA" w:rsidRPr="00FC3654" w:rsidRDefault="007C09EA" w:rsidP="005B1769">
            <w:pPr>
              <w:pStyle w:val="FSCtblMain"/>
            </w:pPr>
            <w:r w:rsidRPr="00FC3654">
              <w:t>Polyoxyethylene (40) stearate</w:t>
            </w:r>
          </w:p>
        </w:tc>
      </w:tr>
      <w:tr w:rsidR="007C09EA" w:rsidRPr="00FC3654" w14:paraId="6DD5BDD7" w14:textId="77777777" w:rsidTr="005B1769">
        <w:trPr>
          <w:cantSplit/>
        </w:trPr>
        <w:tc>
          <w:tcPr>
            <w:tcW w:w="1020" w:type="dxa"/>
          </w:tcPr>
          <w:p w14:paraId="7C10ADEB" w14:textId="77777777" w:rsidR="007C09EA" w:rsidRPr="00FC3654" w:rsidRDefault="007C09EA" w:rsidP="005B1769">
            <w:pPr>
              <w:pStyle w:val="FSCtblMain"/>
            </w:pPr>
            <w:r>
              <w:t>432</w:t>
            </w:r>
          </w:p>
        </w:tc>
        <w:tc>
          <w:tcPr>
            <w:tcW w:w="3402" w:type="dxa"/>
          </w:tcPr>
          <w:p w14:paraId="26ED0496" w14:textId="77777777" w:rsidR="007C09EA" w:rsidRPr="00FC3654" w:rsidRDefault="007C09EA" w:rsidP="005B1769">
            <w:pPr>
              <w:pStyle w:val="FSCtblMain"/>
            </w:pPr>
            <w:r w:rsidRPr="00FC3654">
              <w:t xml:space="preserve">Polysorbate </w:t>
            </w:r>
            <w:r>
              <w:t>20</w:t>
            </w:r>
            <w:r w:rsidRPr="00FC3654">
              <w:t xml:space="preserve"> or Pol</w:t>
            </w:r>
            <w:r>
              <w:t xml:space="preserve">yoxyethylene (20) sorbitan </w:t>
            </w:r>
            <w:r w:rsidRPr="00964ECB">
              <w:t>monolaurate</w:t>
            </w:r>
          </w:p>
        </w:tc>
      </w:tr>
    </w:tbl>
    <w:p w14:paraId="3BE0C8A8" w14:textId="77777777" w:rsidR="007C09EA" w:rsidRPr="00FC5ED1" w:rsidRDefault="007C09EA" w:rsidP="007C09EA">
      <w:pPr>
        <w:tabs>
          <w:tab w:val="left" w:pos="851"/>
        </w:tabs>
        <w:spacing w:before="60" w:after="60"/>
        <w:rPr>
          <w:rFonts w:cs="Arial"/>
          <w:iCs/>
          <w:sz w:val="20"/>
          <w:lang w:eastAsia="en-AU"/>
        </w:rPr>
      </w:pPr>
    </w:p>
    <w:p w14:paraId="397EB012" w14:textId="77777777" w:rsidR="007C09EA" w:rsidRPr="00D42EB3" w:rsidRDefault="007C09EA" w:rsidP="007C09EA">
      <w:pPr>
        <w:spacing w:before="120" w:after="120"/>
        <w:ind w:left="851" w:hanging="851"/>
        <w:rPr>
          <w:sz w:val="20"/>
          <w:szCs w:val="20"/>
        </w:rPr>
      </w:pPr>
      <w:r>
        <w:rPr>
          <w:b/>
          <w:sz w:val="20"/>
          <w:szCs w:val="20"/>
        </w:rPr>
        <w:t>[2]</w:t>
      </w:r>
      <w:r>
        <w:rPr>
          <w:b/>
          <w:sz w:val="20"/>
          <w:szCs w:val="20"/>
        </w:rPr>
        <w:tab/>
        <w:t>Schedule 15</w:t>
      </w:r>
      <w:r w:rsidRPr="00D42EB3">
        <w:rPr>
          <w:b/>
          <w:sz w:val="20"/>
          <w:szCs w:val="20"/>
        </w:rPr>
        <w:t xml:space="preserve"> </w:t>
      </w:r>
      <w:r w:rsidRPr="00D42EB3">
        <w:rPr>
          <w:sz w:val="20"/>
          <w:szCs w:val="20"/>
        </w:rPr>
        <w:t xml:space="preserve">is varied by </w:t>
      </w:r>
    </w:p>
    <w:p w14:paraId="4C35709D" w14:textId="77777777" w:rsidR="007C09EA" w:rsidRPr="00D42EB3" w:rsidRDefault="007C09EA" w:rsidP="007C09EA">
      <w:pPr>
        <w:tabs>
          <w:tab w:val="left" w:pos="1701"/>
        </w:tabs>
        <w:spacing w:before="60" w:after="60"/>
        <w:rPr>
          <w:rFonts w:cs="Arial"/>
          <w:iCs/>
          <w:sz w:val="20"/>
          <w:lang w:eastAsia="en-AU"/>
        </w:rPr>
      </w:pPr>
    </w:p>
    <w:bookmarkEnd w:id="118"/>
    <w:bookmarkEnd w:id="119"/>
    <w:bookmarkEnd w:id="120"/>
    <w:p w14:paraId="392E1B37" w14:textId="77777777" w:rsidR="007C09EA" w:rsidRPr="00964ECB" w:rsidRDefault="007C09EA" w:rsidP="007C09EA">
      <w:pPr>
        <w:tabs>
          <w:tab w:val="left" w:pos="851"/>
        </w:tabs>
        <w:spacing w:before="60" w:after="60"/>
        <w:rPr>
          <w:rFonts w:cs="Arial"/>
          <w:iCs/>
          <w:sz w:val="20"/>
          <w:lang w:eastAsia="en-AU"/>
        </w:rPr>
      </w:pPr>
      <w:r>
        <w:rPr>
          <w:rFonts w:cs="Arial"/>
          <w:b/>
          <w:iCs/>
          <w:sz w:val="20"/>
          <w:lang w:eastAsia="en-AU"/>
        </w:rPr>
        <w:t>[2</w:t>
      </w:r>
      <w:r w:rsidRPr="00964ECB">
        <w:rPr>
          <w:rFonts w:cs="Arial"/>
          <w:b/>
          <w:iCs/>
          <w:sz w:val="20"/>
          <w:lang w:eastAsia="en-AU"/>
        </w:rPr>
        <w:t>.1]</w:t>
      </w:r>
      <w:r w:rsidRPr="00964ECB">
        <w:rPr>
          <w:rFonts w:cs="Arial"/>
          <w:b/>
          <w:iCs/>
          <w:sz w:val="20"/>
          <w:lang w:eastAsia="en-AU"/>
        </w:rPr>
        <w:tab/>
      </w:r>
      <w:r w:rsidRPr="00964ECB">
        <w:rPr>
          <w:rFonts w:cs="Arial"/>
          <w:iCs/>
          <w:sz w:val="20"/>
          <w:lang w:eastAsia="en-AU"/>
        </w:rPr>
        <w:t>omitting the following from item 8.2 of the table to section S15—5,</w:t>
      </w:r>
    </w:p>
    <w:p w14:paraId="38D6E133" w14:textId="77777777" w:rsidR="007C09EA" w:rsidRPr="00964ECB" w:rsidRDefault="007C09EA" w:rsidP="007C09EA">
      <w:pPr>
        <w:tabs>
          <w:tab w:val="left" w:pos="851"/>
        </w:tabs>
        <w:spacing w:before="60" w:after="60"/>
        <w:rPr>
          <w:rFonts w:cs="Arial"/>
          <w:iCs/>
          <w:sz w:val="20"/>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7C09EA" w:rsidRPr="00964ECB" w14:paraId="4C98436F" w14:textId="77777777" w:rsidTr="005B1769">
        <w:trPr>
          <w:cantSplit/>
        </w:trPr>
        <w:tc>
          <w:tcPr>
            <w:tcW w:w="1668" w:type="dxa"/>
          </w:tcPr>
          <w:p w14:paraId="268A41AA" w14:textId="77777777" w:rsidR="007C09EA" w:rsidRPr="00964ECB" w:rsidRDefault="007C09EA" w:rsidP="005B1769">
            <w:pPr>
              <w:keepLines/>
              <w:spacing w:before="20" w:after="20"/>
              <w:rPr>
                <w:rFonts w:eastAsia="Times New Roman"/>
                <w:sz w:val="18"/>
              </w:rPr>
            </w:pPr>
            <w:r w:rsidRPr="00964ECB">
              <w:rPr>
                <w:rFonts w:eastAsia="Times New Roman"/>
                <w:sz w:val="18"/>
              </w:rPr>
              <w:t>280 281 282 283</w:t>
            </w:r>
          </w:p>
        </w:tc>
        <w:tc>
          <w:tcPr>
            <w:tcW w:w="4252" w:type="dxa"/>
          </w:tcPr>
          <w:p w14:paraId="2105CBF6" w14:textId="77777777" w:rsidR="007C09EA" w:rsidRPr="00964ECB" w:rsidRDefault="007C09EA" w:rsidP="005B1769">
            <w:pPr>
              <w:keepLines/>
              <w:spacing w:before="20" w:after="20"/>
              <w:rPr>
                <w:rFonts w:eastAsia="Times New Roman"/>
                <w:sz w:val="18"/>
              </w:rPr>
            </w:pPr>
            <w:r w:rsidRPr="00964ECB">
              <w:rPr>
                <w:rFonts w:eastAsia="Times New Roman"/>
                <w:sz w:val="18"/>
              </w:rPr>
              <w:t>Propionic acid and sodium and potassium and calcium propionates</w:t>
            </w:r>
          </w:p>
        </w:tc>
        <w:tc>
          <w:tcPr>
            <w:tcW w:w="992" w:type="dxa"/>
          </w:tcPr>
          <w:p w14:paraId="766E4E7E" w14:textId="77777777" w:rsidR="007C09EA" w:rsidRPr="00964ECB" w:rsidRDefault="007C09EA" w:rsidP="005B1769">
            <w:pPr>
              <w:keepLines/>
              <w:spacing w:before="20" w:after="20"/>
              <w:jc w:val="right"/>
              <w:rPr>
                <w:rFonts w:eastAsia="Times New Roman"/>
                <w:sz w:val="18"/>
              </w:rPr>
            </w:pPr>
            <w:r w:rsidRPr="00964ECB">
              <w:rPr>
                <w:rFonts w:eastAsia="Times New Roman"/>
                <w:sz w:val="18"/>
              </w:rPr>
              <w:t>GMP</w:t>
            </w:r>
          </w:p>
        </w:tc>
        <w:tc>
          <w:tcPr>
            <w:tcW w:w="2160" w:type="dxa"/>
          </w:tcPr>
          <w:p w14:paraId="00C62579" w14:textId="77777777" w:rsidR="007C09EA" w:rsidRPr="00964ECB" w:rsidRDefault="007C09EA" w:rsidP="005B1769">
            <w:pPr>
              <w:keepLines/>
              <w:spacing w:before="20" w:after="20"/>
              <w:rPr>
                <w:rFonts w:eastAsia="Times New Roman"/>
                <w:sz w:val="18"/>
              </w:rPr>
            </w:pPr>
          </w:p>
        </w:tc>
      </w:tr>
    </w:tbl>
    <w:p w14:paraId="085FE72D" w14:textId="77777777" w:rsidR="007C09EA" w:rsidRPr="00964ECB" w:rsidRDefault="007C09EA" w:rsidP="007C09EA">
      <w:pPr>
        <w:tabs>
          <w:tab w:val="left" w:pos="851"/>
        </w:tabs>
        <w:spacing w:before="60" w:after="60"/>
        <w:rPr>
          <w:rFonts w:cs="Arial"/>
          <w:iCs/>
          <w:sz w:val="20"/>
          <w:lang w:eastAsia="en-AU"/>
        </w:rPr>
      </w:pPr>
      <w:r w:rsidRPr="00964ECB">
        <w:rPr>
          <w:rFonts w:cs="Arial"/>
          <w:iCs/>
          <w:sz w:val="20"/>
          <w:lang w:eastAsia="en-AU"/>
        </w:rPr>
        <w:t>substituting</w:t>
      </w:r>
    </w:p>
    <w:p w14:paraId="62344CDD" w14:textId="77777777" w:rsidR="007C09EA" w:rsidRPr="00964ECB" w:rsidRDefault="007C09EA" w:rsidP="007C09EA">
      <w:pPr>
        <w:tabs>
          <w:tab w:val="left" w:pos="851"/>
        </w:tabs>
        <w:spacing w:before="60" w:after="60"/>
        <w:rPr>
          <w:rFonts w:cs="Arial"/>
          <w:iCs/>
          <w:sz w:val="20"/>
          <w:lang w:eastAsia="en-AU"/>
        </w:rPr>
      </w:pPr>
    </w:p>
    <w:tbl>
      <w:tblPr>
        <w:tblStyle w:val="TableGrid1"/>
        <w:tblW w:w="9072" w:type="dxa"/>
        <w:tblInd w:w="-5" w:type="dxa"/>
        <w:tblLook w:val="04A0" w:firstRow="1" w:lastRow="0" w:firstColumn="1" w:lastColumn="0" w:noHBand="0" w:noVBand="1"/>
      </w:tblPr>
      <w:tblGrid>
        <w:gridCol w:w="1668"/>
        <w:gridCol w:w="4252"/>
        <w:gridCol w:w="992"/>
        <w:gridCol w:w="2160"/>
      </w:tblGrid>
      <w:tr w:rsidR="007C09EA" w:rsidRPr="00964ECB" w14:paraId="29552D46" w14:textId="77777777" w:rsidTr="005B1769">
        <w:tc>
          <w:tcPr>
            <w:tcW w:w="1668" w:type="dxa"/>
            <w:tcBorders>
              <w:top w:val="nil"/>
              <w:left w:val="nil"/>
              <w:bottom w:val="nil"/>
              <w:right w:val="nil"/>
            </w:tcBorders>
          </w:tcPr>
          <w:p w14:paraId="0B7597E0" w14:textId="77777777" w:rsidR="007C09EA" w:rsidRPr="00964ECB" w:rsidRDefault="007C09EA" w:rsidP="005B1769">
            <w:pPr>
              <w:keepLines/>
              <w:spacing w:before="20" w:after="20"/>
              <w:rPr>
                <w:rFonts w:eastAsia="Times New Roman"/>
                <w:sz w:val="18"/>
              </w:rPr>
            </w:pPr>
            <w:r w:rsidRPr="00964ECB">
              <w:rPr>
                <w:rFonts w:eastAsia="Times New Roman"/>
                <w:sz w:val="18"/>
              </w:rPr>
              <w:t>280 281 282 283</w:t>
            </w:r>
          </w:p>
        </w:tc>
        <w:tc>
          <w:tcPr>
            <w:tcW w:w="4252" w:type="dxa"/>
            <w:tcBorders>
              <w:top w:val="nil"/>
              <w:left w:val="nil"/>
              <w:bottom w:val="nil"/>
              <w:right w:val="nil"/>
            </w:tcBorders>
          </w:tcPr>
          <w:p w14:paraId="39501AD5" w14:textId="77777777" w:rsidR="007C09EA" w:rsidRPr="00964ECB" w:rsidRDefault="007C09EA" w:rsidP="005B1769">
            <w:pPr>
              <w:keepLines/>
              <w:spacing w:before="20" w:after="20"/>
              <w:rPr>
                <w:rFonts w:eastAsia="Times New Roman"/>
                <w:sz w:val="18"/>
              </w:rPr>
            </w:pPr>
            <w:r w:rsidRPr="00964ECB">
              <w:rPr>
                <w:rFonts w:eastAsia="Times New Roman"/>
                <w:sz w:val="18"/>
              </w:rPr>
              <w:t>Propionic acid and sodium and potassium and calcium propionates</w:t>
            </w:r>
          </w:p>
        </w:tc>
        <w:tc>
          <w:tcPr>
            <w:tcW w:w="992" w:type="dxa"/>
            <w:tcBorders>
              <w:top w:val="nil"/>
              <w:left w:val="nil"/>
              <w:bottom w:val="nil"/>
              <w:right w:val="nil"/>
            </w:tcBorders>
          </w:tcPr>
          <w:p w14:paraId="51222888" w14:textId="77777777" w:rsidR="007C09EA" w:rsidRPr="00964ECB" w:rsidRDefault="007C09EA" w:rsidP="005B1769">
            <w:pPr>
              <w:keepLines/>
              <w:spacing w:before="20" w:after="20"/>
              <w:jc w:val="right"/>
              <w:rPr>
                <w:rFonts w:eastAsia="Times New Roman"/>
                <w:sz w:val="18"/>
              </w:rPr>
            </w:pPr>
            <w:r w:rsidRPr="00964ECB">
              <w:rPr>
                <w:rFonts w:eastAsia="Times New Roman"/>
                <w:sz w:val="18"/>
              </w:rPr>
              <w:t>GMP</w:t>
            </w:r>
          </w:p>
        </w:tc>
        <w:tc>
          <w:tcPr>
            <w:tcW w:w="2160" w:type="dxa"/>
            <w:tcBorders>
              <w:top w:val="nil"/>
              <w:left w:val="nil"/>
              <w:bottom w:val="nil"/>
              <w:right w:val="nil"/>
            </w:tcBorders>
          </w:tcPr>
          <w:p w14:paraId="2679CA5E" w14:textId="77777777" w:rsidR="007C09EA" w:rsidRPr="00964ECB" w:rsidRDefault="007C09EA" w:rsidP="005B1769">
            <w:pPr>
              <w:keepLines/>
              <w:spacing w:before="20" w:after="20"/>
              <w:rPr>
                <w:rFonts w:eastAsia="Times New Roman"/>
                <w:sz w:val="18"/>
              </w:rPr>
            </w:pPr>
          </w:p>
        </w:tc>
      </w:tr>
      <w:tr w:rsidR="007C09EA" w:rsidRPr="00964ECB" w14:paraId="2CC89826" w14:textId="77777777" w:rsidTr="005B1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68" w:type="dxa"/>
          </w:tcPr>
          <w:p w14:paraId="43B6A7F4" w14:textId="77777777" w:rsidR="007C09EA" w:rsidRPr="00964ECB" w:rsidRDefault="007C09EA" w:rsidP="005B1769">
            <w:pPr>
              <w:keepLines/>
              <w:spacing w:before="20" w:after="20"/>
              <w:rPr>
                <w:rFonts w:eastAsia="Times New Roman"/>
                <w:sz w:val="18"/>
              </w:rPr>
            </w:pPr>
            <w:r w:rsidRPr="00964ECB">
              <w:rPr>
                <w:rFonts w:eastAsia="Times New Roman"/>
                <w:sz w:val="18"/>
              </w:rPr>
              <w:t>432</w:t>
            </w:r>
          </w:p>
        </w:tc>
        <w:tc>
          <w:tcPr>
            <w:tcW w:w="4252" w:type="dxa"/>
          </w:tcPr>
          <w:p w14:paraId="51560718" w14:textId="77777777" w:rsidR="007C09EA" w:rsidRPr="00964ECB" w:rsidRDefault="007C09EA" w:rsidP="005B1769">
            <w:pPr>
              <w:keepLines/>
              <w:spacing w:before="20" w:after="20"/>
              <w:rPr>
                <w:rFonts w:eastAsia="Times New Roman"/>
                <w:sz w:val="18"/>
              </w:rPr>
            </w:pPr>
            <w:r w:rsidRPr="00964ECB">
              <w:rPr>
                <w:rFonts w:eastAsia="Times New Roman"/>
                <w:sz w:val="18"/>
              </w:rPr>
              <w:t xml:space="preserve">Polyoxyethylene </w:t>
            </w:r>
            <w:r>
              <w:rPr>
                <w:rFonts w:eastAsia="Times New Roman"/>
                <w:sz w:val="18"/>
              </w:rPr>
              <w:t xml:space="preserve">(20) </w:t>
            </w:r>
            <w:r w:rsidRPr="00964ECB">
              <w:rPr>
                <w:rFonts w:eastAsia="Times New Roman"/>
                <w:sz w:val="18"/>
              </w:rPr>
              <w:t>sorbitan monolaurate</w:t>
            </w:r>
          </w:p>
        </w:tc>
        <w:tc>
          <w:tcPr>
            <w:tcW w:w="992" w:type="dxa"/>
          </w:tcPr>
          <w:p w14:paraId="6C5AFA2F" w14:textId="77777777" w:rsidR="007C09EA" w:rsidRPr="00964ECB" w:rsidRDefault="007C09EA" w:rsidP="005B1769">
            <w:pPr>
              <w:keepLines/>
              <w:spacing w:before="20" w:after="20"/>
              <w:jc w:val="right"/>
              <w:rPr>
                <w:rFonts w:eastAsia="Times New Roman"/>
                <w:sz w:val="18"/>
              </w:rPr>
            </w:pPr>
            <w:r w:rsidRPr="00964ECB">
              <w:rPr>
                <w:rFonts w:eastAsia="Times New Roman"/>
                <w:sz w:val="18"/>
              </w:rPr>
              <w:t>500</w:t>
            </w:r>
          </w:p>
        </w:tc>
        <w:tc>
          <w:tcPr>
            <w:tcW w:w="2160" w:type="dxa"/>
          </w:tcPr>
          <w:p w14:paraId="793CCE70" w14:textId="77777777" w:rsidR="007C09EA" w:rsidRPr="00964ECB" w:rsidRDefault="007C09EA" w:rsidP="005B1769">
            <w:pPr>
              <w:keepLines/>
              <w:spacing w:before="20" w:after="20"/>
              <w:rPr>
                <w:rFonts w:eastAsia="Times New Roman"/>
                <w:sz w:val="18"/>
              </w:rPr>
            </w:pPr>
          </w:p>
        </w:tc>
      </w:tr>
    </w:tbl>
    <w:p w14:paraId="2681AE37" w14:textId="77777777" w:rsidR="007C09EA" w:rsidRPr="00964ECB" w:rsidRDefault="007C09EA" w:rsidP="007C09EA">
      <w:pPr>
        <w:tabs>
          <w:tab w:val="left" w:pos="851"/>
        </w:tabs>
        <w:rPr>
          <w:szCs w:val="20"/>
        </w:rPr>
      </w:pPr>
    </w:p>
    <w:p w14:paraId="58054799" w14:textId="77777777" w:rsidR="007C09EA" w:rsidRPr="00964ECB" w:rsidRDefault="007C09EA" w:rsidP="007C09EA">
      <w:pPr>
        <w:tabs>
          <w:tab w:val="left" w:pos="851"/>
        </w:tabs>
        <w:spacing w:before="60" w:after="60"/>
        <w:rPr>
          <w:rFonts w:cs="Arial"/>
          <w:iCs/>
          <w:sz w:val="20"/>
          <w:lang w:eastAsia="en-AU"/>
        </w:rPr>
      </w:pPr>
      <w:r>
        <w:rPr>
          <w:rFonts w:cs="Arial"/>
          <w:b/>
          <w:iCs/>
          <w:sz w:val="20"/>
          <w:lang w:eastAsia="en-AU"/>
        </w:rPr>
        <w:t>[2</w:t>
      </w:r>
      <w:r w:rsidRPr="00964ECB">
        <w:rPr>
          <w:rFonts w:cs="Arial"/>
          <w:b/>
          <w:iCs/>
          <w:sz w:val="20"/>
          <w:lang w:eastAsia="en-AU"/>
        </w:rPr>
        <w:t>.2]</w:t>
      </w:r>
      <w:r w:rsidRPr="00964ECB">
        <w:rPr>
          <w:rFonts w:cs="Arial"/>
          <w:b/>
          <w:iCs/>
          <w:sz w:val="20"/>
          <w:lang w:eastAsia="en-AU"/>
        </w:rPr>
        <w:tab/>
      </w:r>
      <w:r w:rsidRPr="00964ECB">
        <w:rPr>
          <w:rFonts w:cs="Arial"/>
          <w:iCs/>
          <w:sz w:val="20"/>
          <w:lang w:eastAsia="en-AU"/>
        </w:rPr>
        <w:t xml:space="preserve">omitting the following from item 8.3 of the table to section S15—5, </w:t>
      </w:r>
    </w:p>
    <w:p w14:paraId="5D98ADB2" w14:textId="77777777" w:rsidR="007C09EA" w:rsidRPr="00964ECB" w:rsidRDefault="007C09EA" w:rsidP="007C09EA">
      <w:pPr>
        <w:tabs>
          <w:tab w:val="left" w:pos="851"/>
        </w:tabs>
        <w:spacing w:before="60" w:after="60"/>
        <w:rPr>
          <w:rFonts w:cs="Arial"/>
          <w:iCs/>
          <w:sz w:val="20"/>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7C09EA" w:rsidRPr="00964ECB" w14:paraId="71F1F4EE" w14:textId="77777777" w:rsidTr="005B1769">
        <w:trPr>
          <w:cantSplit/>
        </w:trPr>
        <w:tc>
          <w:tcPr>
            <w:tcW w:w="1668" w:type="dxa"/>
          </w:tcPr>
          <w:p w14:paraId="454C5BD5" w14:textId="77777777" w:rsidR="007C09EA" w:rsidRPr="00964ECB" w:rsidRDefault="007C09EA" w:rsidP="005B1769">
            <w:pPr>
              <w:keepLines/>
              <w:spacing w:before="20" w:after="20"/>
              <w:rPr>
                <w:rFonts w:eastAsia="Times New Roman"/>
                <w:sz w:val="18"/>
              </w:rPr>
            </w:pPr>
            <w:r w:rsidRPr="00964ECB">
              <w:rPr>
                <w:rFonts w:eastAsia="Times New Roman"/>
                <w:sz w:val="18"/>
              </w:rPr>
              <w:t>280 281 282 283</w:t>
            </w:r>
          </w:p>
        </w:tc>
        <w:tc>
          <w:tcPr>
            <w:tcW w:w="4252" w:type="dxa"/>
          </w:tcPr>
          <w:p w14:paraId="1D6BCFE0" w14:textId="77777777" w:rsidR="007C09EA" w:rsidRPr="00964ECB" w:rsidRDefault="007C09EA" w:rsidP="005B1769">
            <w:pPr>
              <w:keepLines/>
              <w:spacing w:before="20" w:after="20"/>
              <w:rPr>
                <w:rFonts w:eastAsia="Times New Roman"/>
                <w:sz w:val="18"/>
              </w:rPr>
            </w:pPr>
            <w:r w:rsidRPr="00964ECB">
              <w:rPr>
                <w:rFonts w:eastAsia="Times New Roman"/>
                <w:sz w:val="18"/>
              </w:rPr>
              <w:t>Propionic acid and sodium and potassium and calcium propionates</w:t>
            </w:r>
          </w:p>
        </w:tc>
        <w:tc>
          <w:tcPr>
            <w:tcW w:w="992" w:type="dxa"/>
          </w:tcPr>
          <w:p w14:paraId="4C128184" w14:textId="77777777" w:rsidR="007C09EA" w:rsidRPr="00964ECB" w:rsidRDefault="007C09EA" w:rsidP="005B1769">
            <w:pPr>
              <w:keepLines/>
              <w:spacing w:before="20" w:after="20"/>
              <w:jc w:val="right"/>
              <w:rPr>
                <w:rFonts w:eastAsia="Times New Roman"/>
                <w:sz w:val="18"/>
              </w:rPr>
            </w:pPr>
            <w:r w:rsidRPr="00964ECB">
              <w:rPr>
                <w:rFonts w:eastAsia="Times New Roman"/>
                <w:sz w:val="18"/>
              </w:rPr>
              <w:t>GMP</w:t>
            </w:r>
          </w:p>
        </w:tc>
        <w:tc>
          <w:tcPr>
            <w:tcW w:w="2160" w:type="dxa"/>
          </w:tcPr>
          <w:p w14:paraId="7CFF872E" w14:textId="77777777" w:rsidR="007C09EA" w:rsidRPr="00964ECB" w:rsidRDefault="007C09EA" w:rsidP="005B1769">
            <w:pPr>
              <w:keepLines/>
              <w:spacing w:before="20" w:after="20"/>
              <w:rPr>
                <w:rFonts w:eastAsia="Times New Roman"/>
                <w:sz w:val="18"/>
              </w:rPr>
            </w:pPr>
          </w:p>
        </w:tc>
      </w:tr>
    </w:tbl>
    <w:p w14:paraId="6A4E4D2A" w14:textId="77777777" w:rsidR="007C09EA" w:rsidRPr="00964ECB" w:rsidRDefault="007C09EA" w:rsidP="007C09EA">
      <w:pPr>
        <w:tabs>
          <w:tab w:val="left" w:pos="851"/>
        </w:tabs>
        <w:spacing w:before="60" w:after="60"/>
        <w:rPr>
          <w:rFonts w:cs="Arial"/>
          <w:iCs/>
          <w:sz w:val="20"/>
          <w:lang w:eastAsia="en-AU"/>
        </w:rPr>
      </w:pPr>
      <w:r w:rsidRPr="00964ECB">
        <w:rPr>
          <w:rFonts w:cs="Arial"/>
          <w:iCs/>
          <w:sz w:val="20"/>
          <w:lang w:eastAsia="en-AU"/>
        </w:rPr>
        <w:lastRenderedPageBreak/>
        <w:t>substituting</w:t>
      </w:r>
      <w:r w:rsidRPr="00964ECB">
        <w:rPr>
          <w:rFonts w:cs="Arial"/>
          <w:iCs/>
          <w:sz w:val="20"/>
          <w:lang w:eastAsia="en-AU"/>
        </w:rPr>
        <w:br/>
      </w:r>
    </w:p>
    <w:tbl>
      <w:tblPr>
        <w:tblStyle w:val="TableGrid1"/>
        <w:tblW w:w="9072" w:type="dxa"/>
        <w:tblInd w:w="-5" w:type="dxa"/>
        <w:tblLook w:val="04A0" w:firstRow="1" w:lastRow="0" w:firstColumn="1" w:lastColumn="0" w:noHBand="0" w:noVBand="1"/>
      </w:tblPr>
      <w:tblGrid>
        <w:gridCol w:w="1668"/>
        <w:gridCol w:w="4252"/>
        <w:gridCol w:w="992"/>
        <w:gridCol w:w="2160"/>
      </w:tblGrid>
      <w:tr w:rsidR="007C09EA" w:rsidRPr="00964ECB" w14:paraId="49CF54A1" w14:textId="77777777" w:rsidTr="005B1769">
        <w:tc>
          <w:tcPr>
            <w:tcW w:w="1668" w:type="dxa"/>
            <w:tcBorders>
              <w:top w:val="nil"/>
              <w:left w:val="nil"/>
              <w:bottom w:val="nil"/>
              <w:right w:val="nil"/>
            </w:tcBorders>
          </w:tcPr>
          <w:p w14:paraId="58F32417" w14:textId="77777777" w:rsidR="007C09EA" w:rsidRPr="00964ECB" w:rsidRDefault="007C09EA" w:rsidP="005B1769">
            <w:pPr>
              <w:keepLines/>
              <w:spacing w:before="20" w:after="20"/>
              <w:rPr>
                <w:rFonts w:eastAsia="Times New Roman"/>
                <w:sz w:val="18"/>
              </w:rPr>
            </w:pPr>
            <w:r w:rsidRPr="00964ECB">
              <w:rPr>
                <w:rFonts w:eastAsia="Times New Roman"/>
                <w:sz w:val="18"/>
              </w:rPr>
              <w:t>280 281 282 283</w:t>
            </w:r>
          </w:p>
        </w:tc>
        <w:tc>
          <w:tcPr>
            <w:tcW w:w="4252" w:type="dxa"/>
            <w:tcBorders>
              <w:top w:val="nil"/>
              <w:left w:val="nil"/>
              <w:bottom w:val="nil"/>
              <w:right w:val="nil"/>
            </w:tcBorders>
          </w:tcPr>
          <w:p w14:paraId="02BC6C69" w14:textId="77777777" w:rsidR="007C09EA" w:rsidRPr="00964ECB" w:rsidRDefault="007C09EA" w:rsidP="005B1769">
            <w:pPr>
              <w:keepLines/>
              <w:spacing w:before="20" w:after="20"/>
              <w:rPr>
                <w:rFonts w:eastAsia="Times New Roman"/>
                <w:sz w:val="18"/>
              </w:rPr>
            </w:pPr>
            <w:r w:rsidRPr="00964ECB">
              <w:rPr>
                <w:rFonts w:eastAsia="Times New Roman"/>
                <w:sz w:val="18"/>
              </w:rPr>
              <w:t>Propionic acid and sodium and potassium and calcium propionates</w:t>
            </w:r>
          </w:p>
        </w:tc>
        <w:tc>
          <w:tcPr>
            <w:tcW w:w="992" w:type="dxa"/>
            <w:tcBorders>
              <w:top w:val="nil"/>
              <w:left w:val="nil"/>
              <w:bottom w:val="nil"/>
              <w:right w:val="nil"/>
            </w:tcBorders>
          </w:tcPr>
          <w:p w14:paraId="1197BAC2" w14:textId="77777777" w:rsidR="007C09EA" w:rsidRPr="00964ECB" w:rsidRDefault="007C09EA" w:rsidP="005B1769">
            <w:pPr>
              <w:keepLines/>
              <w:spacing w:before="20" w:after="20"/>
              <w:jc w:val="right"/>
              <w:rPr>
                <w:rFonts w:eastAsia="Times New Roman"/>
                <w:sz w:val="18"/>
              </w:rPr>
            </w:pPr>
            <w:r w:rsidRPr="00964ECB">
              <w:rPr>
                <w:rFonts w:eastAsia="Times New Roman"/>
                <w:sz w:val="18"/>
              </w:rPr>
              <w:t>GMP</w:t>
            </w:r>
          </w:p>
        </w:tc>
        <w:tc>
          <w:tcPr>
            <w:tcW w:w="2160" w:type="dxa"/>
            <w:tcBorders>
              <w:top w:val="nil"/>
              <w:left w:val="nil"/>
              <w:bottom w:val="nil"/>
              <w:right w:val="nil"/>
            </w:tcBorders>
          </w:tcPr>
          <w:p w14:paraId="04E46A51" w14:textId="77777777" w:rsidR="007C09EA" w:rsidRPr="00964ECB" w:rsidRDefault="007C09EA" w:rsidP="005B1769">
            <w:pPr>
              <w:keepLines/>
              <w:spacing w:before="20" w:after="20"/>
              <w:rPr>
                <w:rFonts w:eastAsia="Times New Roman"/>
                <w:sz w:val="18"/>
              </w:rPr>
            </w:pPr>
          </w:p>
        </w:tc>
      </w:tr>
      <w:tr w:rsidR="007C09EA" w:rsidRPr="00964ECB" w14:paraId="6CD80131" w14:textId="77777777" w:rsidTr="005B1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68" w:type="dxa"/>
          </w:tcPr>
          <w:p w14:paraId="31EE8EF6" w14:textId="77777777" w:rsidR="007C09EA" w:rsidRPr="00964ECB" w:rsidRDefault="007C09EA" w:rsidP="005B1769">
            <w:pPr>
              <w:keepLines/>
              <w:spacing w:before="20" w:after="20"/>
              <w:rPr>
                <w:rFonts w:eastAsia="Times New Roman"/>
                <w:sz w:val="18"/>
              </w:rPr>
            </w:pPr>
            <w:r w:rsidRPr="00964ECB">
              <w:rPr>
                <w:rFonts w:eastAsia="Times New Roman"/>
                <w:sz w:val="18"/>
              </w:rPr>
              <w:t>432</w:t>
            </w:r>
          </w:p>
        </w:tc>
        <w:tc>
          <w:tcPr>
            <w:tcW w:w="4252" w:type="dxa"/>
          </w:tcPr>
          <w:p w14:paraId="27EF517B" w14:textId="77777777" w:rsidR="007C09EA" w:rsidRPr="00964ECB" w:rsidRDefault="007C09EA" w:rsidP="005B1769">
            <w:pPr>
              <w:keepLines/>
              <w:spacing w:before="20" w:after="20"/>
              <w:rPr>
                <w:rFonts w:eastAsia="Times New Roman"/>
                <w:sz w:val="18"/>
              </w:rPr>
            </w:pPr>
            <w:r w:rsidRPr="00964ECB">
              <w:rPr>
                <w:rFonts w:eastAsia="Times New Roman"/>
                <w:sz w:val="18"/>
              </w:rPr>
              <w:t xml:space="preserve">Polyoxyethylene </w:t>
            </w:r>
            <w:r>
              <w:rPr>
                <w:rFonts w:eastAsia="Times New Roman"/>
                <w:sz w:val="18"/>
              </w:rPr>
              <w:t xml:space="preserve">(20) </w:t>
            </w:r>
            <w:r w:rsidRPr="00964ECB">
              <w:rPr>
                <w:rFonts w:eastAsia="Times New Roman"/>
                <w:sz w:val="18"/>
              </w:rPr>
              <w:t>sorbitan monolaurate</w:t>
            </w:r>
          </w:p>
        </w:tc>
        <w:tc>
          <w:tcPr>
            <w:tcW w:w="992" w:type="dxa"/>
          </w:tcPr>
          <w:p w14:paraId="2315948E" w14:textId="77777777" w:rsidR="007C09EA" w:rsidRPr="00964ECB" w:rsidRDefault="007C09EA" w:rsidP="005B1769">
            <w:pPr>
              <w:keepLines/>
              <w:spacing w:before="20" w:after="20"/>
              <w:jc w:val="right"/>
              <w:rPr>
                <w:rFonts w:eastAsia="Times New Roman"/>
                <w:sz w:val="18"/>
              </w:rPr>
            </w:pPr>
            <w:r w:rsidRPr="00964ECB">
              <w:rPr>
                <w:rFonts w:eastAsia="Times New Roman"/>
                <w:sz w:val="18"/>
              </w:rPr>
              <w:t>500</w:t>
            </w:r>
          </w:p>
        </w:tc>
        <w:tc>
          <w:tcPr>
            <w:tcW w:w="2160" w:type="dxa"/>
          </w:tcPr>
          <w:p w14:paraId="0DF0E042" w14:textId="77777777" w:rsidR="007C09EA" w:rsidRPr="00964ECB" w:rsidRDefault="007C09EA" w:rsidP="005B1769">
            <w:pPr>
              <w:keepLines/>
              <w:spacing w:before="20" w:after="20"/>
              <w:rPr>
                <w:rFonts w:eastAsia="Times New Roman"/>
                <w:sz w:val="18"/>
              </w:rPr>
            </w:pPr>
          </w:p>
        </w:tc>
      </w:tr>
    </w:tbl>
    <w:p w14:paraId="35B29E00" w14:textId="77777777" w:rsidR="007C09EA" w:rsidRPr="00964ECB" w:rsidRDefault="007C09EA" w:rsidP="007C09EA">
      <w:pPr>
        <w:tabs>
          <w:tab w:val="left" w:pos="851"/>
        </w:tabs>
        <w:rPr>
          <w:szCs w:val="20"/>
        </w:rPr>
      </w:pPr>
    </w:p>
    <w:p w14:paraId="206440BE" w14:textId="77777777" w:rsidR="007C09EA" w:rsidRPr="00964ECB" w:rsidRDefault="007C09EA" w:rsidP="007C09EA">
      <w:pPr>
        <w:tabs>
          <w:tab w:val="left" w:pos="851"/>
        </w:tabs>
        <w:spacing w:before="60" w:after="60"/>
        <w:rPr>
          <w:rFonts w:cs="Arial"/>
          <w:iCs/>
          <w:sz w:val="20"/>
          <w:lang w:eastAsia="en-AU"/>
        </w:rPr>
      </w:pPr>
      <w:r>
        <w:rPr>
          <w:rFonts w:cs="Arial"/>
          <w:b/>
          <w:iCs/>
          <w:sz w:val="20"/>
          <w:lang w:eastAsia="en-AU"/>
        </w:rPr>
        <w:t>[2</w:t>
      </w:r>
      <w:r w:rsidRPr="00964ECB">
        <w:rPr>
          <w:rFonts w:cs="Arial"/>
          <w:b/>
          <w:iCs/>
          <w:sz w:val="20"/>
          <w:lang w:eastAsia="en-AU"/>
        </w:rPr>
        <w:t>.3]</w:t>
      </w:r>
      <w:r w:rsidRPr="00964ECB">
        <w:rPr>
          <w:rFonts w:cs="Arial"/>
          <w:b/>
          <w:iCs/>
          <w:sz w:val="20"/>
          <w:lang w:eastAsia="en-AU"/>
        </w:rPr>
        <w:tab/>
      </w:r>
      <w:r w:rsidRPr="00964ECB">
        <w:rPr>
          <w:rFonts w:cs="Arial"/>
          <w:iCs/>
          <w:sz w:val="20"/>
          <w:lang w:eastAsia="en-AU"/>
        </w:rPr>
        <w:t>omit</w:t>
      </w:r>
      <w:r>
        <w:rPr>
          <w:rFonts w:cs="Arial"/>
          <w:iCs/>
          <w:sz w:val="20"/>
          <w:lang w:eastAsia="en-AU"/>
        </w:rPr>
        <w:t xml:space="preserve">ting the following </w:t>
      </w:r>
      <w:r w:rsidRPr="00F139CE">
        <w:rPr>
          <w:rFonts w:cs="Arial"/>
          <w:iCs/>
          <w:sz w:val="20"/>
          <w:lang w:eastAsia="en-AU"/>
        </w:rPr>
        <w:t>from item 9.2</w:t>
      </w:r>
      <w:r w:rsidRPr="00964ECB">
        <w:rPr>
          <w:rFonts w:cs="Arial"/>
          <w:iCs/>
          <w:sz w:val="20"/>
          <w:lang w:eastAsia="en-AU"/>
        </w:rPr>
        <w:t xml:space="preserve"> of the table to section S15—5, </w:t>
      </w:r>
    </w:p>
    <w:p w14:paraId="41146B3A" w14:textId="77777777" w:rsidR="007C09EA" w:rsidRPr="00964ECB" w:rsidRDefault="007C09EA" w:rsidP="007C09EA">
      <w:pPr>
        <w:tabs>
          <w:tab w:val="left" w:pos="851"/>
        </w:tabs>
        <w:spacing w:before="60" w:after="60"/>
        <w:rPr>
          <w:rFonts w:cs="Arial"/>
          <w:iCs/>
          <w:sz w:val="20"/>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7C09EA" w:rsidRPr="00D214AE" w14:paraId="0D27F619" w14:textId="77777777" w:rsidTr="005B1769">
        <w:trPr>
          <w:cantSplit/>
        </w:trPr>
        <w:tc>
          <w:tcPr>
            <w:tcW w:w="1668" w:type="dxa"/>
          </w:tcPr>
          <w:p w14:paraId="47625E5F" w14:textId="77777777" w:rsidR="007C09EA" w:rsidRPr="003D6026" w:rsidRDefault="007C09EA" w:rsidP="005B1769">
            <w:pPr>
              <w:pStyle w:val="FSCtblAdd1"/>
            </w:pPr>
          </w:p>
        </w:tc>
        <w:tc>
          <w:tcPr>
            <w:tcW w:w="4252" w:type="dxa"/>
          </w:tcPr>
          <w:p w14:paraId="23CB353C" w14:textId="77777777" w:rsidR="007C09EA" w:rsidRPr="003D6026" w:rsidRDefault="007C09EA" w:rsidP="005B1769">
            <w:pPr>
              <w:pStyle w:val="FSCtblAdd1"/>
            </w:pPr>
            <w:r>
              <w:t>C</w:t>
            </w:r>
            <w:r w:rsidRPr="003D6026">
              <w:t>olourings permitted to a maximum level</w:t>
            </w:r>
          </w:p>
        </w:tc>
        <w:tc>
          <w:tcPr>
            <w:tcW w:w="992" w:type="dxa"/>
          </w:tcPr>
          <w:p w14:paraId="45C606A7" w14:textId="77777777" w:rsidR="007C09EA" w:rsidRPr="003D6026" w:rsidRDefault="007C09EA" w:rsidP="005B1769">
            <w:pPr>
              <w:pStyle w:val="FSCtblAdd2"/>
            </w:pPr>
          </w:p>
        </w:tc>
        <w:tc>
          <w:tcPr>
            <w:tcW w:w="2160" w:type="dxa"/>
          </w:tcPr>
          <w:p w14:paraId="58FA15EC" w14:textId="77777777" w:rsidR="007C09EA" w:rsidRPr="00D214AE" w:rsidRDefault="007C09EA" w:rsidP="005B1769">
            <w:pPr>
              <w:pStyle w:val="FSCtblAdd1"/>
            </w:pPr>
          </w:p>
        </w:tc>
      </w:tr>
    </w:tbl>
    <w:p w14:paraId="5118DE1E" w14:textId="77777777" w:rsidR="007C09EA" w:rsidRPr="00964ECB" w:rsidRDefault="007C09EA" w:rsidP="007C09EA">
      <w:pPr>
        <w:tabs>
          <w:tab w:val="left" w:pos="851"/>
        </w:tabs>
        <w:spacing w:before="60" w:after="60"/>
        <w:rPr>
          <w:rFonts w:cs="Arial"/>
          <w:iCs/>
          <w:sz w:val="20"/>
          <w:lang w:eastAsia="en-AU"/>
        </w:rPr>
      </w:pPr>
    </w:p>
    <w:p w14:paraId="420E1837" w14:textId="77777777" w:rsidR="007C09EA" w:rsidRPr="00964ECB" w:rsidRDefault="007C09EA" w:rsidP="007C09EA">
      <w:pPr>
        <w:tabs>
          <w:tab w:val="left" w:pos="851"/>
        </w:tabs>
        <w:spacing w:before="60" w:after="60"/>
        <w:rPr>
          <w:rFonts w:cs="Arial"/>
          <w:iCs/>
          <w:sz w:val="20"/>
          <w:lang w:eastAsia="en-AU"/>
        </w:rPr>
      </w:pPr>
      <w:r w:rsidRPr="00964ECB">
        <w:rPr>
          <w:rFonts w:cs="Arial"/>
          <w:iCs/>
          <w:sz w:val="20"/>
          <w:lang w:eastAsia="en-AU"/>
        </w:rPr>
        <w:t>substituting</w:t>
      </w:r>
    </w:p>
    <w:p w14:paraId="31C3BE5D" w14:textId="77777777" w:rsidR="007C09EA" w:rsidRPr="00F139CE" w:rsidRDefault="007C09EA" w:rsidP="007C09EA">
      <w:pPr>
        <w:tabs>
          <w:tab w:val="left" w:pos="851"/>
        </w:tabs>
        <w:spacing w:before="60" w:after="60"/>
        <w:rPr>
          <w:rFonts w:cs="Arial"/>
          <w:iCs/>
          <w:sz w:val="18"/>
          <w:szCs w:val="18"/>
          <w:lang w:eastAsia="en-AU"/>
        </w:rPr>
      </w:pPr>
    </w:p>
    <w:tbl>
      <w:tblPr>
        <w:tblStyle w:val="TableGrid1"/>
        <w:tblW w:w="9072" w:type="dxa"/>
        <w:tblInd w:w="-5" w:type="dxa"/>
        <w:tblLook w:val="04A0" w:firstRow="1" w:lastRow="0" w:firstColumn="1" w:lastColumn="0" w:noHBand="0" w:noVBand="1"/>
      </w:tblPr>
      <w:tblGrid>
        <w:gridCol w:w="1668"/>
        <w:gridCol w:w="4252"/>
        <w:gridCol w:w="992"/>
        <w:gridCol w:w="2160"/>
      </w:tblGrid>
      <w:tr w:rsidR="007C09EA" w:rsidRPr="00F139CE" w14:paraId="69EAAD5E" w14:textId="77777777" w:rsidTr="005B1769">
        <w:tc>
          <w:tcPr>
            <w:tcW w:w="1668" w:type="dxa"/>
            <w:tcBorders>
              <w:top w:val="nil"/>
              <w:left w:val="nil"/>
              <w:bottom w:val="nil"/>
              <w:right w:val="nil"/>
            </w:tcBorders>
          </w:tcPr>
          <w:p w14:paraId="3D6ABB18" w14:textId="77777777" w:rsidR="007C09EA" w:rsidRPr="00964ECB" w:rsidRDefault="007C09EA" w:rsidP="005B1769">
            <w:pPr>
              <w:keepLines/>
              <w:spacing w:before="20" w:after="20"/>
              <w:rPr>
                <w:rFonts w:eastAsia="Times New Roman"/>
                <w:sz w:val="18"/>
              </w:rPr>
            </w:pPr>
          </w:p>
        </w:tc>
        <w:tc>
          <w:tcPr>
            <w:tcW w:w="4252" w:type="dxa"/>
            <w:tcBorders>
              <w:top w:val="nil"/>
              <w:left w:val="nil"/>
              <w:bottom w:val="nil"/>
              <w:right w:val="nil"/>
            </w:tcBorders>
          </w:tcPr>
          <w:p w14:paraId="4298623B" w14:textId="77777777" w:rsidR="007C09EA" w:rsidRPr="00964ECB" w:rsidRDefault="007C09EA" w:rsidP="005B1769">
            <w:pPr>
              <w:keepLines/>
              <w:spacing w:before="20" w:after="20"/>
              <w:rPr>
                <w:rFonts w:eastAsia="Times New Roman"/>
                <w:sz w:val="18"/>
              </w:rPr>
            </w:pPr>
            <w:r w:rsidRPr="00F139CE">
              <w:rPr>
                <w:sz w:val="18"/>
                <w:szCs w:val="18"/>
              </w:rPr>
              <w:t>Colourings permitted to a maximum level</w:t>
            </w:r>
          </w:p>
        </w:tc>
        <w:tc>
          <w:tcPr>
            <w:tcW w:w="992" w:type="dxa"/>
            <w:tcBorders>
              <w:top w:val="nil"/>
              <w:left w:val="nil"/>
              <w:bottom w:val="nil"/>
              <w:right w:val="nil"/>
            </w:tcBorders>
          </w:tcPr>
          <w:p w14:paraId="6AFD5B74" w14:textId="77777777" w:rsidR="007C09EA" w:rsidRPr="00964ECB" w:rsidRDefault="007C09EA" w:rsidP="005B1769">
            <w:pPr>
              <w:keepLines/>
              <w:spacing w:before="20" w:after="20"/>
              <w:jc w:val="right"/>
              <w:rPr>
                <w:rFonts w:eastAsia="Times New Roman"/>
                <w:sz w:val="18"/>
              </w:rPr>
            </w:pPr>
          </w:p>
        </w:tc>
        <w:tc>
          <w:tcPr>
            <w:tcW w:w="2160" w:type="dxa"/>
            <w:tcBorders>
              <w:top w:val="nil"/>
              <w:left w:val="nil"/>
              <w:bottom w:val="nil"/>
              <w:right w:val="nil"/>
            </w:tcBorders>
          </w:tcPr>
          <w:p w14:paraId="14AA722C" w14:textId="77777777" w:rsidR="007C09EA" w:rsidRPr="00964ECB" w:rsidRDefault="007C09EA" w:rsidP="005B1769">
            <w:pPr>
              <w:keepLines/>
              <w:spacing w:before="20" w:after="20"/>
              <w:rPr>
                <w:rFonts w:eastAsia="Times New Roman"/>
                <w:sz w:val="18"/>
              </w:rPr>
            </w:pPr>
          </w:p>
        </w:tc>
      </w:tr>
      <w:tr w:rsidR="007C09EA" w:rsidRPr="00964ECB" w14:paraId="7841AB2F" w14:textId="77777777" w:rsidTr="005B17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68" w:type="dxa"/>
          </w:tcPr>
          <w:p w14:paraId="6B09CF81" w14:textId="77777777" w:rsidR="007C09EA" w:rsidRPr="00964ECB" w:rsidRDefault="007C09EA" w:rsidP="005B1769">
            <w:pPr>
              <w:keepLines/>
              <w:spacing w:before="20" w:after="20"/>
              <w:rPr>
                <w:rFonts w:eastAsia="Times New Roman"/>
                <w:sz w:val="18"/>
              </w:rPr>
            </w:pPr>
            <w:r w:rsidRPr="00964ECB">
              <w:rPr>
                <w:rFonts w:eastAsia="Times New Roman"/>
                <w:sz w:val="18"/>
              </w:rPr>
              <w:t>432</w:t>
            </w:r>
          </w:p>
        </w:tc>
        <w:tc>
          <w:tcPr>
            <w:tcW w:w="4252" w:type="dxa"/>
          </w:tcPr>
          <w:p w14:paraId="726A7854" w14:textId="77777777" w:rsidR="007C09EA" w:rsidRPr="00964ECB" w:rsidRDefault="007C09EA" w:rsidP="005B1769">
            <w:pPr>
              <w:keepLines/>
              <w:spacing w:before="20" w:after="20"/>
              <w:rPr>
                <w:rFonts w:eastAsia="Times New Roman"/>
                <w:sz w:val="18"/>
              </w:rPr>
            </w:pPr>
            <w:r w:rsidRPr="00964ECB">
              <w:rPr>
                <w:rFonts w:eastAsia="Times New Roman"/>
                <w:sz w:val="18"/>
              </w:rPr>
              <w:t xml:space="preserve">Polyoxyethylene </w:t>
            </w:r>
            <w:r>
              <w:rPr>
                <w:rFonts w:eastAsia="Times New Roman"/>
                <w:sz w:val="18"/>
              </w:rPr>
              <w:t xml:space="preserve">(20) </w:t>
            </w:r>
            <w:r w:rsidRPr="00964ECB">
              <w:rPr>
                <w:rFonts w:eastAsia="Times New Roman"/>
                <w:sz w:val="18"/>
              </w:rPr>
              <w:t>sorbitan monolaurate</w:t>
            </w:r>
          </w:p>
        </w:tc>
        <w:tc>
          <w:tcPr>
            <w:tcW w:w="992" w:type="dxa"/>
          </w:tcPr>
          <w:p w14:paraId="79972114" w14:textId="77777777" w:rsidR="007C09EA" w:rsidRPr="00964ECB" w:rsidRDefault="007C09EA" w:rsidP="005B1769">
            <w:pPr>
              <w:keepLines/>
              <w:spacing w:before="20" w:after="20"/>
              <w:jc w:val="right"/>
              <w:rPr>
                <w:rFonts w:eastAsia="Times New Roman"/>
                <w:sz w:val="18"/>
              </w:rPr>
            </w:pPr>
            <w:r w:rsidRPr="00964ECB">
              <w:rPr>
                <w:rFonts w:eastAsia="Times New Roman"/>
                <w:sz w:val="18"/>
              </w:rPr>
              <w:t>500</w:t>
            </w:r>
          </w:p>
        </w:tc>
        <w:tc>
          <w:tcPr>
            <w:tcW w:w="2160" w:type="dxa"/>
          </w:tcPr>
          <w:p w14:paraId="35DCF221" w14:textId="77777777" w:rsidR="007C09EA" w:rsidRPr="00964ECB" w:rsidRDefault="007C09EA" w:rsidP="005B1769">
            <w:pPr>
              <w:keepLines/>
              <w:spacing w:before="20" w:after="20"/>
              <w:rPr>
                <w:rFonts w:eastAsia="Times New Roman"/>
                <w:sz w:val="18"/>
              </w:rPr>
            </w:pPr>
          </w:p>
        </w:tc>
      </w:tr>
    </w:tbl>
    <w:p w14:paraId="0A512A0E" w14:textId="77777777" w:rsidR="007C09EA" w:rsidRPr="00EC66BB" w:rsidRDefault="007C09EA" w:rsidP="007C09EA">
      <w:pPr>
        <w:tabs>
          <w:tab w:val="left" w:pos="851"/>
        </w:tabs>
        <w:spacing w:before="60" w:after="60"/>
      </w:pPr>
    </w:p>
    <w:p w14:paraId="66C717DA" w14:textId="77777777" w:rsidR="007C09EA" w:rsidRDefault="007C09EA" w:rsidP="007C09EA">
      <w:pPr>
        <w:rPr>
          <w:rFonts w:cs="Arial"/>
        </w:rPr>
      </w:pPr>
    </w:p>
    <w:p w14:paraId="6C75BD5B" w14:textId="77777777" w:rsidR="00456BD5" w:rsidRPr="00795D86" w:rsidRDefault="00456BD5" w:rsidP="00456BD5">
      <w:pPr>
        <w:rPr>
          <w:lang w:bidi="ar-SA"/>
        </w:rPr>
      </w:pPr>
    </w:p>
    <w:p w14:paraId="7BEE38ED" w14:textId="77777777" w:rsidR="00456BD5" w:rsidRDefault="00456BD5" w:rsidP="00456BD5">
      <w:pPr>
        <w:pStyle w:val="Heading2"/>
        <w:ind w:left="0" w:firstLine="0"/>
      </w:pPr>
      <w:r w:rsidRPr="00932F14">
        <w:br w:type="page"/>
      </w:r>
      <w:bookmarkStart w:id="121" w:name="_Toc521320628"/>
      <w:r w:rsidR="005E06C0" w:rsidRPr="00932F14">
        <w:lastRenderedPageBreak/>
        <w:t xml:space="preserve">Attachment </w:t>
      </w:r>
      <w:r w:rsidR="005E06C0">
        <w:t xml:space="preserve">B – </w:t>
      </w:r>
      <w:r>
        <w:t>Explanatory Statement</w:t>
      </w:r>
      <w:bookmarkEnd w:id="121"/>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0802866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3EC1329" w14:textId="77777777" w:rsidR="00456BD5" w:rsidRPr="00D13E34" w:rsidRDefault="00456BD5" w:rsidP="00456BD5">
      <w:pPr>
        <w:widowControl/>
        <w:autoSpaceDE w:val="0"/>
        <w:autoSpaceDN w:val="0"/>
        <w:adjustRightInd w:val="0"/>
        <w:rPr>
          <w:rFonts w:eastAsia="Calibri" w:cs="Arial"/>
          <w:bCs/>
          <w:szCs w:val="22"/>
          <w:lang w:val="en-AU" w:bidi="ar-SA"/>
        </w:rPr>
      </w:pPr>
    </w:p>
    <w:p w14:paraId="72A7E6A1" w14:textId="77777777" w:rsidR="00456BD5" w:rsidRPr="0051112E" w:rsidRDefault="00456BD5" w:rsidP="00456BD5">
      <w:pPr>
        <w:widowControl/>
        <w:autoSpaceDE w:val="0"/>
        <w:autoSpaceDN w:val="0"/>
        <w:adjustRightInd w:val="0"/>
        <w:rPr>
          <w:rFonts w:eastAsia="Calibri" w:cs="Arial"/>
          <w:bCs/>
          <w:szCs w:val="22"/>
          <w:lang w:val="en-AU" w:bidi="ar-SA"/>
        </w:rPr>
      </w:pPr>
      <w:r w:rsidRPr="0051112E">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E47AD6B" w14:textId="77777777" w:rsidR="00456BD5" w:rsidRPr="0051112E" w:rsidRDefault="00456BD5" w:rsidP="00456BD5">
      <w:pPr>
        <w:widowControl/>
        <w:autoSpaceDE w:val="0"/>
        <w:autoSpaceDN w:val="0"/>
        <w:adjustRightInd w:val="0"/>
        <w:rPr>
          <w:rFonts w:eastAsia="Calibri" w:cs="Arial"/>
          <w:bCs/>
          <w:szCs w:val="22"/>
          <w:lang w:val="en-AU" w:bidi="ar-SA"/>
        </w:rPr>
      </w:pPr>
    </w:p>
    <w:p w14:paraId="129F10BF" w14:textId="4BA393C3" w:rsidR="0051112E" w:rsidRPr="0051112E" w:rsidRDefault="0051112E" w:rsidP="0051112E">
      <w:pPr>
        <w:widowControl/>
        <w:autoSpaceDE w:val="0"/>
        <w:autoSpaceDN w:val="0"/>
        <w:adjustRightInd w:val="0"/>
        <w:rPr>
          <w:rFonts w:eastAsia="Calibri" w:cs="Arial"/>
          <w:bCs/>
          <w:szCs w:val="22"/>
          <w:lang w:val="en-AU" w:bidi="ar-SA"/>
        </w:rPr>
      </w:pPr>
      <w:r w:rsidRPr="0051112E">
        <w:rPr>
          <w:rFonts w:eastAsia="Calibri" w:cs="Arial"/>
          <w:bCs/>
          <w:szCs w:val="22"/>
          <w:lang w:val="en-AU" w:bidi="ar-SA"/>
        </w:rPr>
        <w:t xml:space="preserve">FSANZ accepted application A1137 which </w:t>
      </w:r>
      <w:r>
        <w:rPr>
          <w:rFonts w:eastAsia="Calibri" w:cs="Arial"/>
          <w:bCs/>
          <w:szCs w:val="22"/>
          <w:lang w:val="en-AU" w:bidi="ar-SA"/>
        </w:rPr>
        <w:t>sought</w:t>
      </w:r>
      <w:r w:rsidRPr="0051112E">
        <w:rPr>
          <w:rFonts w:eastAsia="Calibri" w:cs="Arial"/>
          <w:bCs/>
          <w:szCs w:val="22"/>
          <w:lang w:val="en-AU" w:bidi="ar-SA"/>
        </w:rPr>
        <w:t xml:space="preserve"> to use polysorbate 20 as an emulsifier for processed meat and meat products, and processed fish and fish products. The Authority considered the application in accordance with Division 1 of Part 3 and has prepared a draft variation. </w:t>
      </w:r>
    </w:p>
    <w:p w14:paraId="7059258A" w14:textId="77777777" w:rsidR="00456BD5" w:rsidRPr="00D13E34" w:rsidRDefault="00456BD5" w:rsidP="00456BD5">
      <w:pPr>
        <w:widowControl/>
        <w:autoSpaceDE w:val="0"/>
        <w:autoSpaceDN w:val="0"/>
        <w:adjustRightInd w:val="0"/>
        <w:rPr>
          <w:rFonts w:eastAsia="Calibri" w:cs="Arial"/>
          <w:bCs/>
          <w:szCs w:val="22"/>
          <w:lang w:val="en-AU" w:bidi="ar-SA"/>
        </w:rPr>
      </w:pPr>
    </w:p>
    <w:p w14:paraId="27021107"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553F09E" w14:textId="77777777" w:rsidR="00456BD5" w:rsidRPr="00D13E34" w:rsidRDefault="00456BD5" w:rsidP="00456BD5">
      <w:pPr>
        <w:widowControl/>
        <w:autoSpaceDE w:val="0"/>
        <w:autoSpaceDN w:val="0"/>
        <w:adjustRightInd w:val="0"/>
        <w:rPr>
          <w:rFonts w:eastAsia="Calibri" w:cs="Arial"/>
          <w:bCs/>
          <w:szCs w:val="22"/>
          <w:lang w:val="en-AU" w:bidi="ar-SA"/>
        </w:rPr>
      </w:pPr>
    </w:p>
    <w:p w14:paraId="5042A44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77E347E" w14:textId="77777777" w:rsidR="00456BD5" w:rsidRDefault="00456BD5" w:rsidP="00456BD5">
      <w:pPr>
        <w:rPr>
          <w:lang w:val="en-AU" w:eastAsia="en-GB" w:bidi="ar-SA"/>
        </w:rPr>
      </w:pPr>
    </w:p>
    <w:p w14:paraId="25164526" w14:textId="0C16F835" w:rsidR="00456BD5" w:rsidRDefault="00456BD5" w:rsidP="00456BD5">
      <w:pPr>
        <w:rPr>
          <w:lang w:val="en-AU" w:eastAsia="en-GB" w:bidi="ar-SA"/>
        </w:rPr>
      </w:pPr>
      <w:r>
        <w:rPr>
          <w:lang w:val="en-AU" w:eastAsia="en-GB" w:bidi="ar-SA"/>
        </w:rPr>
        <w:t xml:space="preserve">The Authority has approved </w:t>
      </w:r>
      <w:r w:rsidR="0051112E" w:rsidRPr="0051112E">
        <w:rPr>
          <w:lang w:val="en-AU" w:eastAsia="en-GB" w:bidi="ar-SA"/>
        </w:rPr>
        <w:t xml:space="preserve">the draft variation to amend the table to section S15—5 to permit the use of polysorbate 20 as a food additive on processed </w:t>
      </w:r>
      <w:r w:rsidR="0051112E">
        <w:rPr>
          <w:lang w:val="en-AU" w:eastAsia="en-GB" w:bidi="ar-SA"/>
        </w:rPr>
        <w:t xml:space="preserve">meat and </w:t>
      </w:r>
      <w:r w:rsidR="0051112E" w:rsidRPr="0051112E">
        <w:rPr>
          <w:lang w:val="en-AU" w:eastAsia="en-GB" w:bidi="ar-SA"/>
        </w:rPr>
        <w:t xml:space="preserve">meat products and on processed fish and fish products. The draft variation also amends the alphabetical and numerical listings in the table to </w:t>
      </w:r>
      <w:r w:rsidR="0051112E" w:rsidRPr="0051112E">
        <w:t>section S8—2 to provide</w:t>
      </w:r>
      <w:r w:rsidR="0051112E" w:rsidRPr="0051112E">
        <w:rPr>
          <w:lang w:val="en-AU" w:eastAsia="en-GB" w:bidi="ar-SA"/>
        </w:rPr>
        <w:t xml:space="preserve"> </w:t>
      </w:r>
      <w:r w:rsidR="0051112E" w:rsidRPr="0051112E">
        <w:t xml:space="preserve">a name and code number for </w:t>
      </w:r>
      <w:r w:rsidR="0051112E" w:rsidRPr="0051112E">
        <w:rPr>
          <w:lang w:val="en-AU" w:eastAsia="en-GB" w:bidi="ar-SA"/>
        </w:rPr>
        <w:t xml:space="preserve">polysorbate 20 </w:t>
      </w:r>
      <w:r w:rsidR="0051112E" w:rsidRPr="0051112E">
        <w:t>to be used for labelling purposes.</w:t>
      </w:r>
    </w:p>
    <w:p w14:paraId="084ABE79" w14:textId="77777777" w:rsidR="005F5A47" w:rsidRDefault="005F5A47" w:rsidP="00456BD5">
      <w:pPr>
        <w:rPr>
          <w:lang w:val="en-AU" w:eastAsia="en-GB" w:bidi="ar-SA"/>
        </w:rPr>
      </w:pP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DA3F12E" w14:textId="77777777" w:rsidR="00456BD5" w:rsidRDefault="00456BD5"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0B668E6" w14:textId="51B260B5" w:rsidR="00456BD5" w:rsidRDefault="00456BD5" w:rsidP="00456BD5">
      <w:pPr>
        <w:rPr>
          <w:lang w:val="en-AU" w:eastAsia="en-GB" w:bidi="ar-SA"/>
        </w:rPr>
      </w:pPr>
    </w:p>
    <w:p w14:paraId="5EC896E5" w14:textId="709B75F3" w:rsidR="005F5A47" w:rsidRPr="004B180D" w:rsidRDefault="005F5A47" w:rsidP="005F5A47">
      <w:pPr>
        <w:rPr>
          <w:lang w:val="en-AU"/>
        </w:rPr>
      </w:pPr>
      <w:r w:rsidRPr="005F5A47">
        <w:rPr>
          <w:szCs w:val="22"/>
        </w:rPr>
        <w:t xml:space="preserve">In accordance with the procedure in Division 1 of Part 3 of the FSANZ Act, </w:t>
      </w:r>
      <w:r w:rsidRPr="005F5A47">
        <w:rPr>
          <w:rFonts w:eastAsia="Calibri" w:cs="Arial"/>
          <w:bCs/>
          <w:szCs w:val="22"/>
          <w:lang w:val="en-AU" w:bidi="ar-SA"/>
        </w:rPr>
        <w:t>the Authority</w:t>
      </w:r>
      <w:r w:rsidRPr="005F5A47">
        <w:rPr>
          <w:szCs w:val="22"/>
        </w:rPr>
        <w:t>’s consideration of application A1137 include</w:t>
      </w:r>
      <w:r>
        <w:rPr>
          <w:szCs w:val="22"/>
        </w:rPr>
        <w:t>d</w:t>
      </w:r>
      <w:r w:rsidRPr="005F5A47">
        <w:rPr>
          <w:szCs w:val="22"/>
        </w:rPr>
        <w:t xml:space="preserve"> one round of public consultation following an assessment and the preparation of a draft variation and associated assessment summary. </w:t>
      </w:r>
      <w:r w:rsidRPr="004B180D">
        <w:rPr>
          <w:szCs w:val="22"/>
        </w:rPr>
        <w:t xml:space="preserve">Submissions were called for on </w:t>
      </w:r>
      <w:r w:rsidR="004B180D" w:rsidRPr="004B180D">
        <w:rPr>
          <w:szCs w:val="22"/>
        </w:rPr>
        <w:t xml:space="preserve">26 </w:t>
      </w:r>
      <w:r w:rsidRPr="004B180D">
        <w:rPr>
          <w:szCs w:val="22"/>
        </w:rPr>
        <w:t xml:space="preserve">June 2018 for a four-week consultation period. </w:t>
      </w:r>
    </w:p>
    <w:p w14:paraId="019FB548" w14:textId="77777777" w:rsidR="005F5A47" w:rsidRPr="005F5A47" w:rsidRDefault="005F5A47" w:rsidP="005F5A47"/>
    <w:p w14:paraId="66FA2E38" w14:textId="77777777" w:rsidR="005F5A47" w:rsidRPr="005F5A47" w:rsidRDefault="005F5A47" w:rsidP="005F5A47">
      <w:pPr>
        <w:widowControl/>
        <w:autoSpaceDE w:val="0"/>
        <w:autoSpaceDN w:val="0"/>
        <w:adjustRightInd w:val="0"/>
        <w:rPr>
          <w:rFonts w:cs="Arial"/>
          <w:szCs w:val="22"/>
        </w:rPr>
      </w:pPr>
      <w:r w:rsidRPr="005F5A47">
        <w:rPr>
          <w:rFonts w:eastAsia="Calibri" w:cs="Arial"/>
          <w:bCs/>
          <w:szCs w:val="22"/>
          <w:lang w:val="en-AU" w:bidi="ar-SA"/>
        </w:rPr>
        <w:t xml:space="preserve">A Regulation Impact Statement was not required because the proposed variations to Schedule 15 </w:t>
      </w:r>
      <w:r w:rsidRPr="005F5A47">
        <w:t xml:space="preserve">are likely to have a minor impact on business and individuals. </w:t>
      </w:r>
    </w:p>
    <w:p w14:paraId="4334F3D1" w14:textId="68336C1C" w:rsidR="005F5A47" w:rsidRDefault="005F5A47" w:rsidP="00456BD5">
      <w:pPr>
        <w:rPr>
          <w:lang w:val="en-AU" w:eastAsia="en-GB" w:bidi="ar-SA"/>
        </w:rPr>
      </w:pPr>
    </w:p>
    <w:p w14:paraId="27F1F1C0"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20FDF70" w14:textId="47BBDE0E" w:rsidR="0044619E" w:rsidRDefault="0044619E">
      <w:pPr>
        <w:widowControl/>
        <w:rPr>
          <w:rFonts w:eastAsiaTheme="minorHAnsi"/>
          <w:lang w:val="en-AU" w:bidi="ar-SA"/>
        </w:rPr>
      </w:pPr>
      <w:r>
        <w:rPr>
          <w:rFonts w:eastAsiaTheme="minorHAnsi"/>
          <w:lang w:val="en-AU" w:bidi="ar-SA"/>
        </w:rPr>
        <w:br w:type="page"/>
      </w:r>
    </w:p>
    <w:p w14:paraId="65FBB09D" w14:textId="77777777" w:rsidR="00456BD5" w:rsidRPr="00432A42" w:rsidRDefault="00456BD5" w:rsidP="00456BD5">
      <w:pPr>
        <w:rPr>
          <w:b/>
          <w:lang w:val="en-AU" w:eastAsia="en-GB" w:bidi="ar-SA"/>
        </w:rPr>
      </w:pPr>
      <w:r w:rsidRPr="00432A42">
        <w:rPr>
          <w:b/>
        </w:rPr>
        <w:lastRenderedPageBreak/>
        <w:t>6.</w:t>
      </w:r>
      <w:r w:rsidRPr="00432A42">
        <w:rPr>
          <w:b/>
        </w:rPr>
        <w:tab/>
      </w:r>
      <w:r>
        <w:rPr>
          <w:b/>
          <w:lang w:val="en-AU" w:eastAsia="en-GB" w:bidi="ar-SA"/>
        </w:rPr>
        <w:t>Variation</w:t>
      </w:r>
    </w:p>
    <w:p w14:paraId="03B36AA7" w14:textId="77777777" w:rsidR="00456BD5" w:rsidRPr="00432A42" w:rsidRDefault="00456BD5" w:rsidP="00456BD5">
      <w:pPr>
        <w:rPr>
          <w:b/>
        </w:rPr>
      </w:pPr>
    </w:p>
    <w:p w14:paraId="1165498B" w14:textId="77777777" w:rsidR="005F5A47" w:rsidRPr="005F5A47" w:rsidRDefault="005F5A47" w:rsidP="005F5A47">
      <w:r w:rsidRPr="005F5A47">
        <w:rPr>
          <w:i/>
        </w:rPr>
        <w:t xml:space="preserve">Item [1.1] </w:t>
      </w:r>
    </w:p>
    <w:p w14:paraId="75C31FC7" w14:textId="77777777" w:rsidR="005F5A47" w:rsidRPr="005F5A47" w:rsidRDefault="005F5A47" w:rsidP="005F5A47"/>
    <w:p w14:paraId="59A6FDAB" w14:textId="77777777" w:rsidR="005F5A47" w:rsidRPr="005F5A47" w:rsidRDefault="005F5A47" w:rsidP="005F5A47">
      <w:r w:rsidRPr="005F5A47">
        <w:t xml:space="preserve">Item [1.1] of the draft variation amends the alphabetical listing in the table to section S8—2 by inserting the food additive name ‘Polysorbate 20 or Polyoxyethylene (20) sorbitan monolaurate’ and code number ‘432’ into that listing in alphabetical order. </w:t>
      </w:r>
    </w:p>
    <w:p w14:paraId="765E6402" w14:textId="77777777" w:rsidR="005F5A47" w:rsidRPr="005F5A47" w:rsidRDefault="005F5A47" w:rsidP="005F5A47"/>
    <w:p w14:paraId="1E2F873B" w14:textId="77777777" w:rsidR="005F5A47" w:rsidRPr="005F5A47" w:rsidRDefault="005F5A47" w:rsidP="005F5A47">
      <w:r w:rsidRPr="005F5A47">
        <w:rPr>
          <w:i/>
        </w:rPr>
        <w:t xml:space="preserve">Item [1.2] </w:t>
      </w:r>
    </w:p>
    <w:p w14:paraId="2063A87E" w14:textId="77777777" w:rsidR="005F5A47" w:rsidRPr="005F5A47" w:rsidRDefault="005F5A47" w:rsidP="005F5A47"/>
    <w:p w14:paraId="2A43BD3F" w14:textId="77777777" w:rsidR="005F5A47" w:rsidRPr="005F5A47" w:rsidRDefault="005F5A47" w:rsidP="005F5A47">
      <w:r w:rsidRPr="005F5A47">
        <w:t xml:space="preserve">Item [1.2] amends the numerical listing in the table to section S8—2 by inserting the food additive code number ‘432’ and name ‘Polysorbate 20 or Polyoxyethylene (20) sorbitan monolaurate’ into that listing in numerical order. </w:t>
      </w:r>
    </w:p>
    <w:p w14:paraId="03BFDAB4" w14:textId="77777777" w:rsidR="005F5A47" w:rsidRPr="005F5A47" w:rsidRDefault="005F5A47" w:rsidP="005F5A47"/>
    <w:p w14:paraId="7235E36F" w14:textId="77777777" w:rsidR="005F5A47" w:rsidRPr="005F5A47" w:rsidRDefault="005F5A47" w:rsidP="005F5A47">
      <w:pPr>
        <w:rPr>
          <w:i/>
        </w:rPr>
      </w:pPr>
      <w:r w:rsidRPr="005F5A47">
        <w:rPr>
          <w:i/>
        </w:rPr>
        <w:t>Item [2.1]</w:t>
      </w:r>
    </w:p>
    <w:p w14:paraId="1863146F" w14:textId="77777777" w:rsidR="005F5A47" w:rsidRPr="005F5A47" w:rsidRDefault="005F5A47" w:rsidP="005F5A47"/>
    <w:p w14:paraId="2C13AA96" w14:textId="77777777" w:rsidR="005F5A47" w:rsidRPr="005F5A47" w:rsidRDefault="005F5A47" w:rsidP="005F5A47">
      <w:r w:rsidRPr="005F5A47">
        <w:t>Item [2.1] amends item 8.2 of the table to section S15—5. Item 8.2 relates to processed meat, poultry and game products in whole cuts or pieces. The amendment inserts into item 8.2 a reference to polyoxyethylene (20) sorbitan monolaurate (INS number 432), with a maximum permitted level of 500 mg/kg. The effect of the amendment is to permit that substance’s use as a food additive within that category of food products subject to that maximum permitted level.</w:t>
      </w:r>
    </w:p>
    <w:p w14:paraId="0984022E" w14:textId="77777777" w:rsidR="005F5A47" w:rsidRPr="005F5A47" w:rsidRDefault="005F5A47" w:rsidP="005F5A47"/>
    <w:p w14:paraId="28544F57" w14:textId="77777777" w:rsidR="005F5A47" w:rsidRPr="005F5A47" w:rsidRDefault="005F5A47" w:rsidP="005F5A47">
      <w:pPr>
        <w:rPr>
          <w:i/>
        </w:rPr>
      </w:pPr>
      <w:r w:rsidRPr="005F5A47">
        <w:rPr>
          <w:i/>
        </w:rPr>
        <w:t>Item [2.2]</w:t>
      </w:r>
    </w:p>
    <w:p w14:paraId="45749206" w14:textId="77777777" w:rsidR="005F5A47" w:rsidRPr="005F5A47" w:rsidRDefault="005F5A47" w:rsidP="005F5A47"/>
    <w:p w14:paraId="2412CCB8" w14:textId="644A4BC7" w:rsidR="005F5A47" w:rsidRPr="005F5A47" w:rsidRDefault="005F5A47" w:rsidP="005F5A47">
      <w:r w:rsidRPr="005F5A47">
        <w:t xml:space="preserve">Item [2.2] amends item 8.3 of the table to section S15—5. Item 8.3 relates to processed </w:t>
      </w:r>
      <w:r w:rsidR="00223E4B">
        <w:t xml:space="preserve">comminuted </w:t>
      </w:r>
      <w:r w:rsidRPr="005F5A47">
        <w:t>meat, poultry and game products</w:t>
      </w:r>
      <w:r w:rsidR="00223E4B">
        <w:t>, other than products listed in item 8.3.2.</w:t>
      </w:r>
      <w:r w:rsidRPr="005F5A47">
        <w:t xml:space="preserve"> The amendment inserts into item 8.3 a reference to polyoxyethylene (20) sorbitan monolaurate (INS number 432), with a maximum permitted level of 500 mg/kg. The effect of the amendment is to permit that substance’s use as a food additive in that category of food products subject to that maximum permitted level.</w:t>
      </w:r>
    </w:p>
    <w:p w14:paraId="00446ED6" w14:textId="77777777" w:rsidR="005F5A47" w:rsidRPr="005F5A47" w:rsidRDefault="005F5A47" w:rsidP="005F5A47"/>
    <w:p w14:paraId="5C5CBFDD" w14:textId="77777777" w:rsidR="005F5A47" w:rsidRPr="005F5A47" w:rsidRDefault="005F5A47" w:rsidP="005F5A47">
      <w:pPr>
        <w:rPr>
          <w:i/>
        </w:rPr>
      </w:pPr>
      <w:r w:rsidRPr="005F5A47">
        <w:rPr>
          <w:i/>
        </w:rPr>
        <w:t>Item [2.3]</w:t>
      </w:r>
    </w:p>
    <w:p w14:paraId="6D395CFF" w14:textId="77777777" w:rsidR="005F5A47" w:rsidRPr="005F5A47" w:rsidRDefault="005F5A47" w:rsidP="005F5A47"/>
    <w:p w14:paraId="4CB19773" w14:textId="77777777" w:rsidR="005F5A47" w:rsidRPr="005F5A47" w:rsidRDefault="005F5A47" w:rsidP="005F5A47">
      <w:r w:rsidRPr="005F5A47">
        <w:t xml:space="preserve">Item [2.3] amends item 9.2 of the table to section S15—5. Item 9.2 relates to processed fish and fish products. The amendment inserts into item 9.2 a reference to polyoxyethylene (20) sorbitan monolaurate (INS number 432), with a maximum permitted level of 500 mg/kg. The effect of the amendment is to permit that substance’s use as a food additive in that category of food products subject to that maximum permitted level. </w:t>
      </w:r>
    </w:p>
    <w:p w14:paraId="540BF782" w14:textId="77777777" w:rsidR="005F5A47" w:rsidRPr="005F5A47" w:rsidRDefault="005F5A47" w:rsidP="005F5A47"/>
    <w:bookmarkEnd w:id="116"/>
    <w:bookmarkEnd w:id="117"/>
    <w:p w14:paraId="2AAB4D54" w14:textId="13100CFE" w:rsidR="00456BD5" w:rsidRDefault="00456BD5" w:rsidP="00456BD5">
      <w:pPr>
        <w:pStyle w:val="Heading2"/>
      </w:pPr>
    </w:p>
    <w:sectPr w:rsidR="00456BD5" w:rsidSect="0051442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84C37" w14:textId="77777777" w:rsidR="008D1569" w:rsidRDefault="008D1569">
      <w:r>
        <w:separator/>
      </w:r>
    </w:p>
    <w:p w14:paraId="0B809A46" w14:textId="77777777" w:rsidR="008D1569" w:rsidRDefault="008D1569"/>
  </w:endnote>
  <w:endnote w:type="continuationSeparator" w:id="0">
    <w:p w14:paraId="4286BA0A" w14:textId="77777777" w:rsidR="008D1569" w:rsidRDefault="008D1569">
      <w:r>
        <w:continuationSeparator/>
      </w:r>
    </w:p>
    <w:p w14:paraId="459BF98F" w14:textId="77777777" w:rsidR="008D1569" w:rsidRDefault="008D1569"/>
  </w:endnote>
  <w:endnote w:type="continuationNotice" w:id="1">
    <w:p w14:paraId="02A817A0" w14:textId="77777777" w:rsidR="008D1569" w:rsidRDefault="008D1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77777777" w:rsidR="008D1569" w:rsidRDefault="008D156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8D1569" w:rsidRDefault="008D1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5809A0FA" w:rsidR="008D1569" w:rsidRDefault="008D1569" w:rsidP="00A671E6">
        <w:pPr>
          <w:pStyle w:val="Footer"/>
          <w:jc w:val="center"/>
        </w:pPr>
        <w:r>
          <w:fldChar w:fldCharType="begin"/>
        </w:r>
        <w:r>
          <w:instrText xml:space="preserve"> PAGE   \* MERGEFORMAT </w:instrText>
        </w:r>
        <w:r>
          <w:fldChar w:fldCharType="separate"/>
        </w:r>
        <w:r w:rsidR="00BE6307">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6C187" w14:textId="77777777" w:rsidR="008D1569" w:rsidRDefault="008D1569">
      <w:r>
        <w:separator/>
      </w:r>
    </w:p>
  </w:footnote>
  <w:footnote w:type="continuationSeparator" w:id="0">
    <w:p w14:paraId="4AD20BB8" w14:textId="77777777" w:rsidR="008D1569" w:rsidRDefault="008D1569">
      <w:r>
        <w:continuationSeparator/>
      </w:r>
    </w:p>
  </w:footnote>
  <w:footnote w:type="continuationNotice" w:id="1">
    <w:p w14:paraId="7ED0EB47" w14:textId="77777777" w:rsidR="008D1569" w:rsidRDefault="008D1569"/>
  </w:footnote>
  <w:footnote w:id="2">
    <w:p w14:paraId="62B0C27F" w14:textId="77777777" w:rsidR="008D1569" w:rsidRPr="00820535" w:rsidRDefault="008D1569" w:rsidP="000541DB">
      <w:pPr>
        <w:pStyle w:val="FootnoteText"/>
        <w:rPr>
          <w:sz w:val="18"/>
          <w:szCs w:val="18"/>
          <w:lang w:val="en-AU"/>
        </w:rPr>
      </w:pPr>
      <w:r w:rsidRPr="00820535">
        <w:rPr>
          <w:rStyle w:val="FootnoteReference"/>
          <w:sz w:val="18"/>
          <w:szCs w:val="18"/>
        </w:rPr>
        <w:footnoteRef/>
      </w:r>
      <w:r w:rsidRPr="00820535">
        <w:rPr>
          <w:sz w:val="18"/>
          <w:szCs w:val="18"/>
        </w:rPr>
        <w:t xml:space="preserve"> </w:t>
      </w:r>
      <w:hyperlink r:id="rId1" w:history="1">
        <w:r w:rsidRPr="004C32EF">
          <w:rPr>
            <w:rStyle w:val="Hyperlink"/>
            <w:sz w:val="18"/>
            <w:szCs w:val="18"/>
            <w:lang w:val="en-AU"/>
          </w:rPr>
          <w:t>http://www.foodstandards.gov.au/code/applications/Pages/A1137.aspx</w:t>
        </w:r>
      </w:hyperlink>
    </w:p>
  </w:footnote>
  <w:footnote w:id="3">
    <w:p w14:paraId="3F4F2F86" w14:textId="77777777" w:rsidR="008D1569" w:rsidRPr="000073DA" w:rsidRDefault="008D1569" w:rsidP="008E74D2">
      <w:pPr>
        <w:pStyle w:val="FootnoteText"/>
        <w:rPr>
          <w:lang w:val="en-AU"/>
        </w:rPr>
      </w:pPr>
      <w:r>
        <w:rPr>
          <w:rStyle w:val="FootnoteReference"/>
        </w:rPr>
        <w:footnoteRef/>
      </w:r>
      <w:r>
        <w:t xml:space="preserve"> </w:t>
      </w:r>
      <w:r>
        <w:rPr>
          <w:lang w:val="en-AU"/>
        </w:rPr>
        <w:t xml:space="preserve">General Standard for Food Additives, CODEX STAN 192-1995, revision 2017 available </w:t>
      </w:r>
      <w:hyperlink r:id="rId2" w:history="1">
        <w:r w:rsidRPr="009B7A1B">
          <w:rPr>
            <w:rStyle w:val="Hyperlink"/>
            <w:lang w:val="en-AU"/>
          </w:rPr>
          <w:t>http://www.fao.org/gsfaonline/docs/CXS_192e.pdf</w:t>
        </w:r>
      </w:hyperlink>
      <w:r>
        <w:rPr>
          <w:lang w:val="en-AU"/>
        </w:rPr>
        <w:t xml:space="preserve">  </w:t>
      </w:r>
    </w:p>
  </w:footnote>
  <w:footnote w:id="4">
    <w:p w14:paraId="5BDEF514" w14:textId="77777777" w:rsidR="008D1569" w:rsidRPr="00F365C6" w:rsidRDefault="008D1569" w:rsidP="008E74D2">
      <w:pPr>
        <w:pStyle w:val="FootnoteText"/>
        <w:rPr>
          <w:lang w:val="en-AU"/>
        </w:rPr>
      </w:pPr>
      <w:r>
        <w:rPr>
          <w:rStyle w:val="FootnoteReference"/>
        </w:rPr>
        <w:footnoteRef/>
      </w:r>
      <w:r>
        <w:t xml:space="preserve"> GSFA online search available </w:t>
      </w:r>
      <w:hyperlink r:id="rId3" w:history="1">
        <w:r w:rsidRPr="009B7A1B">
          <w:rPr>
            <w:rStyle w:val="Hyperlink"/>
          </w:rPr>
          <w:t>http://www.fao.org/gsfaonline/additives/search.html?lang=en</w:t>
        </w:r>
      </w:hyperlink>
      <w:r>
        <w:t xml:space="preserve"> </w:t>
      </w:r>
    </w:p>
  </w:footnote>
  <w:footnote w:id="5">
    <w:p w14:paraId="136CF276" w14:textId="77777777" w:rsidR="008D1569" w:rsidRPr="0011085C" w:rsidRDefault="008D1569" w:rsidP="008E74D2">
      <w:pPr>
        <w:pStyle w:val="FootnoteText"/>
        <w:rPr>
          <w:lang w:val="en-AU"/>
        </w:rPr>
      </w:pPr>
      <w:r>
        <w:rPr>
          <w:rStyle w:val="FootnoteReference"/>
        </w:rPr>
        <w:footnoteRef/>
      </w:r>
      <w:r>
        <w:t xml:space="preserve"> </w:t>
      </w:r>
      <w:r w:rsidRPr="006A4619">
        <w:rPr>
          <w:lang w:val="en-AU"/>
        </w:rPr>
        <w:t>COMMISSION REGULATION (EU) No 1129/2011</w:t>
      </w:r>
      <w:r>
        <w:rPr>
          <w:lang w:val="en-AU"/>
        </w:rPr>
        <w:t xml:space="preserve"> </w:t>
      </w:r>
      <w:r w:rsidRPr="006A4619">
        <w:rPr>
          <w:lang w:val="en-AU"/>
        </w:rPr>
        <w:t>of 11 November 2011</w:t>
      </w:r>
      <w:r>
        <w:rPr>
          <w:lang w:val="en-AU"/>
        </w:rPr>
        <w:t xml:space="preserve"> </w:t>
      </w:r>
      <w:r w:rsidRPr="006A4619">
        <w:rPr>
          <w:lang w:val="en-AU"/>
        </w:rPr>
        <w:t>amending Annex II to Regulation (EC) No 1333/2008 of the European Parliament and of the Council by establishing a Union list of food additives</w:t>
      </w:r>
      <w:r>
        <w:rPr>
          <w:lang w:val="en-AU"/>
        </w:rPr>
        <w:t xml:space="preserve">, available </w:t>
      </w:r>
      <w:hyperlink r:id="rId4" w:history="1">
        <w:r w:rsidRPr="009B7A1B">
          <w:rPr>
            <w:rStyle w:val="Hyperlink"/>
            <w:lang w:val="en-AU"/>
          </w:rPr>
          <w:t>http://eur-lex.europa.eu/legal-content/EN/TXT/PDF/?uri=OJ:L:2011:295:FULL&amp;from=EN</w:t>
        </w:r>
      </w:hyperlink>
    </w:p>
  </w:footnote>
  <w:footnote w:id="6">
    <w:p w14:paraId="559E4573" w14:textId="77777777" w:rsidR="008D1569" w:rsidRPr="001C6EA8" w:rsidRDefault="008D1569" w:rsidP="008E74D2">
      <w:pPr>
        <w:pStyle w:val="FootnoteText"/>
        <w:rPr>
          <w:lang w:val="en-AU"/>
        </w:rPr>
      </w:pPr>
      <w:r>
        <w:rPr>
          <w:rStyle w:val="FootnoteReference"/>
        </w:rPr>
        <w:footnoteRef/>
      </w:r>
      <w:r>
        <w:t xml:space="preserve"> </w:t>
      </w:r>
      <w:hyperlink r:id="rId5" w:history="1">
        <w:r w:rsidRPr="009B7A1B">
          <w:rPr>
            <w:rStyle w:val="Hyperlink"/>
          </w:rPr>
          <w:t>https://webgate.ec.europa.eu/foods_system/main/?event=substances.search&amp;substances.pagination=1</w:t>
        </w:r>
      </w:hyperlink>
    </w:p>
  </w:footnote>
  <w:footnote w:id="7">
    <w:p w14:paraId="33DB298A" w14:textId="77777777" w:rsidR="008D1569" w:rsidRPr="001C6EA8" w:rsidRDefault="008D1569" w:rsidP="008E74D2">
      <w:pPr>
        <w:pStyle w:val="FootnoteText"/>
      </w:pPr>
      <w:r>
        <w:rPr>
          <w:rStyle w:val="FootnoteReference"/>
        </w:rPr>
        <w:footnoteRef/>
      </w:r>
      <w:r>
        <w:t xml:space="preserve"> EFSA ANS Panel (EFSA Panel on Food Additives and Nutrient Sources Added to Food), 2015. </w:t>
      </w:r>
    </w:p>
    <w:p w14:paraId="79D56806" w14:textId="77777777" w:rsidR="008D1569" w:rsidRPr="001C6EA8" w:rsidRDefault="008D1569" w:rsidP="008E74D2">
      <w:pPr>
        <w:pStyle w:val="FootnoteText"/>
        <w:rPr>
          <w:lang w:val="en-AU"/>
        </w:rPr>
      </w:pPr>
      <w:r w:rsidRPr="001C6EA8">
        <w:t xml:space="preserve"> Scientific Opinion on the re-evaluation of polyoxyethylene sorbitan monolaurate (E 432), polyoxyethylene sorbitan monooleate (E 433), polyoxyethylene sorbitan monopalmitate (E 434), polyoxyethylene sorbitan monostearate (E 435) and polyoxyethylene sorbitan tristearate (E 436) as food additives. EFSA Journal 2015;13(7):4152, 74 pp</w:t>
      </w:r>
    </w:p>
  </w:footnote>
  <w:footnote w:id="8">
    <w:p w14:paraId="0B04A6AB" w14:textId="77777777" w:rsidR="008D1569" w:rsidRPr="00963103" w:rsidRDefault="008D1569" w:rsidP="008E74D2">
      <w:pPr>
        <w:pStyle w:val="FootnoteText"/>
        <w:rPr>
          <w:lang w:val="en-AU"/>
        </w:rPr>
      </w:pPr>
      <w:r>
        <w:rPr>
          <w:rStyle w:val="FootnoteReference"/>
        </w:rPr>
        <w:footnoteRef/>
      </w:r>
      <w:r>
        <w:t xml:space="preserve"> United States Food &amp; Drug Administration, </w:t>
      </w:r>
      <w:r>
        <w:rPr>
          <w:lang w:val="en-AU"/>
        </w:rPr>
        <w:t xml:space="preserve">Code of Federal Regulation, section 178.3400, available </w:t>
      </w:r>
      <w:hyperlink r:id="rId6" w:history="1">
        <w:r w:rsidRPr="009B7A1B">
          <w:rPr>
            <w:rStyle w:val="Hyperlink"/>
            <w:lang w:val="en-AU"/>
          </w:rPr>
          <w:t>https://www.accessdata.fda.gov/scripts/cdrh/cfdocs/cfcfr/cfrsearch.cfm</w:t>
        </w:r>
      </w:hyperlink>
      <w:r>
        <w:rPr>
          <w:lang w:val="en-AU"/>
        </w:rPr>
        <w:t xml:space="preserve"> </w:t>
      </w:r>
    </w:p>
  </w:footnote>
  <w:footnote w:id="9">
    <w:p w14:paraId="4C7AA498" w14:textId="77777777" w:rsidR="008D1569" w:rsidRPr="00FB442C" w:rsidRDefault="008D1569" w:rsidP="008E74D2">
      <w:pPr>
        <w:pStyle w:val="FootnoteText"/>
        <w:rPr>
          <w:lang w:val="en-AU"/>
        </w:rPr>
      </w:pPr>
      <w:r>
        <w:rPr>
          <w:rStyle w:val="FootnoteReference"/>
        </w:rPr>
        <w:footnoteRef/>
      </w:r>
      <w:r>
        <w:t xml:space="preserve"> </w:t>
      </w:r>
      <w:hyperlink r:id="rId7" w:anchor="se21.3.178_13400" w:history="1">
        <w:r w:rsidRPr="009B7A1B">
          <w:rPr>
            <w:rStyle w:val="Hyperlink"/>
          </w:rPr>
          <w:t>https://www.ecfr.gov/cgi-bin/text-idx?SID=ac79097fe6735334b83e5ce9757c5094&amp;mc=true&amp;node=pt21.3.178&amp;rgn=div5#se21.3.178_13400</w:t>
        </w:r>
      </w:hyperlink>
      <w:r>
        <w:t xml:space="preserve"> </w:t>
      </w:r>
    </w:p>
  </w:footnote>
  <w:footnote w:id="10">
    <w:p w14:paraId="18093715" w14:textId="77777777" w:rsidR="008D1569" w:rsidRPr="00AC765E" w:rsidRDefault="008D1569" w:rsidP="008E74D2">
      <w:pPr>
        <w:pStyle w:val="FootnoteText"/>
        <w:rPr>
          <w:lang w:val="en-AU"/>
        </w:rPr>
      </w:pPr>
      <w:r>
        <w:rPr>
          <w:rStyle w:val="FootnoteReference"/>
        </w:rPr>
        <w:footnoteRef/>
      </w:r>
      <w:r>
        <w:t xml:space="preserve"> </w:t>
      </w:r>
      <w:r>
        <w:rPr>
          <w:lang w:val="en-AU"/>
        </w:rPr>
        <w:t>Flavouring adjuvant is a substance added to a flavouring preparation that aids in imparting the active flavouring substance to the food; in this case as an emulsifier.</w:t>
      </w:r>
    </w:p>
  </w:footnote>
  <w:footnote w:id="11">
    <w:p w14:paraId="3492EEA1" w14:textId="77777777" w:rsidR="008D1569" w:rsidRPr="003843BC" w:rsidRDefault="008D1569" w:rsidP="008E74D2">
      <w:pPr>
        <w:pStyle w:val="FootnoteText"/>
        <w:rPr>
          <w:lang w:val="en-AU"/>
        </w:rPr>
      </w:pPr>
      <w:r>
        <w:rPr>
          <w:rStyle w:val="FootnoteReference"/>
        </w:rPr>
        <w:footnoteRef/>
      </w:r>
      <w:r>
        <w:t xml:space="preserve"> </w:t>
      </w:r>
      <w:r>
        <w:rPr>
          <w:lang w:val="en-AU"/>
        </w:rPr>
        <w:t xml:space="preserve">United States Food &amp; Drug Administration, Code of Federal Regulations, section 172.515, available </w:t>
      </w:r>
      <w:hyperlink r:id="rId8" w:history="1">
        <w:r w:rsidRPr="00F03B13">
          <w:rPr>
            <w:rStyle w:val="Hyperlink"/>
            <w:lang w:val="en-AU"/>
          </w:rPr>
          <w:t>https://www.accessdata.fda.gov/scripts/cdrh/cfdocs/cfcfr/CFRSearch.cfm</w:t>
        </w:r>
      </w:hyperlink>
      <w:r>
        <w:rPr>
          <w:lang w:val="en-AU"/>
        </w:rPr>
        <w:t xml:space="preserve">  </w:t>
      </w:r>
    </w:p>
  </w:footnote>
  <w:footnote w:id="12">
    <w:p w14:paraId="03D973B4" w14:textId="77777777" w:rsidR="008D1569" w:rsidRPr="000C6C16" w:rsidRDefault="008D1569" w:rsidP="008E74D2">
      <w:pPr>
        <w:pStyle w:val="FootnoteText"/>
      </w:pPr>
      <w:r>
        <w:rPr>
          <w:rStyle w:val="FootnoteReference"/>
        </w:rPr>
        <w:footnoteRef/>
      </w:r>
      <w:r>
        <w:t xml:space="preserve"> Standards for Use of Food Additives, The Japan Food Chemical Research Foundation, available </w:t>
      </w:r>
      <w:hyperlink r:id="rId9" w:history="1">
        <w:r w:rsidRPr="00F03B13">
          <w:rPr>
            <w:rStyle w:val="Hyperlink"/>
          </w:rPr>
          <w:t>http://www.ffcr.or.jp/zaidan/FFCRHOME.nsf/pages/stanrd.use</w:t>
        </w:r>
      </w:hyperlink>
      <w:r>
        <w:t xml:space="preserve"> </w:t>
      </w:r>
      <w:r>
        <w:rPr>
          <w:lang w:val="en-AU"/>
        </w:rPr>
        <w:t xml:space="preserve"> </w:t>
      </w:r>
    </w:p>
  </w:footnote>
  <w:footnote w:id="13">
    <w:p w14:paraId="4838725E" w14:textId="77777777" w:rsidR="008D1569" w:rsidRDefault="008D1569" w:rsidP="008E74D2">
      <w:pPr>
        <w:pStyle w:val="FootnoteText"/>
        <w:rPr>
          <w:sz w:val="22"/>
          <w:szCs w:val="22"/>
        </w:rPr>
      </w:pPr>
      <w:r>
        <w:rPr>
          <w:rStyle w:val="FootnoteReference"/>
        </w:rPr>
        <w:footnoteRef/>
      </w:r>
      <w:r>
        <w:t xml:space="preserve"> </w:t>
      </w:r>
      <w:hyperlink r:id="rId10" w:anchor="Sc6-" w:history="1"/>
      <w:r>
        <w:t>Sixth Schedule (Permitted emulsifiers and permitted stabilisers), Regulation 21(2) – in Food Regulations, Agri-Food &amp; Veterinary Authority of Singapore, available</w:t>
      </w:r>
      <w:r>
        <w:rPr>
          <w:sz w:val="22"/>
          <w:szCs w:val="22"/>
        </w:rPr>
        <w:t xml:space="preserve">  </w:t>
      </w:r>
    </w:p>
    <w:p w14:paraId="38885FE8" w14:textId="77777777" w:rsidR="008D1569" w:rsidRDefault="00BE6307" w:rsidP="008E74D2">
      <w:pPr>
        <w:pStyle w:val="FootnoteText"/>
        <w:rPr>
          <w:sz w:val="22"/>
          <w:szCs w:val="22"/>
        </w:rPr>
      </w:pPr>
      <w:hyperlink r:id="rId11" w:history="1">
        <w:r w:rsidR="008D1569" w:rsidRPr="00F03B13">
          <w:rPr>
            <w:rStyle w:val="Hyperlink"/>
            <w:sz w:val="22"/>
            <w:szCs w:val="22"/>
          </w:rPr>
          <w:t>https://www.ava.gov.sg/docs/default-source/legislation/sale-of-food-act/food-regulations38a28b1875296bf09fdaff00009b1e7c.pdf</w:t>
        </w:r>
      </w:hyperlink>
      <w:r w:rsidR="008D1569">
        <w:rPr>
          <w:sz w:val="22"/>
          <w:szCs w:val="22"/>
        </w:rPr>
        <w:t xml:space="preserve"> </w:t>
      </w:r>
    </w:p>
    <w:p w14:paraId="62D4265D" w14:textId="77777777" w:rsidR="008D1569" w:rsidRPr="00117477" w:rsidRDefault="008D1569" w:rsidP="008E74D2">
      <w:pPr>
        <w:pStyle w:val="FootnoteText"/>
        <w:rPr>
          <w:lang w:val="en-AU"/>
        </w:rPr>
      </w:pPr>
    </w:p>
  </w:footnote>
  <w:footnote w:id="14">
    <w:p w14:paraId="676C4506" w14:textId="755EF8BB" w:rsidR="008D1569" w:rsidRPr="00277164" w:rsidRDefault="008D1569" w:rsidP="00430AEC">
      <w:pPr>
        <w:pStyle w:val="FootnoteText"/>
        <w:rPr>
          <w:lang w:val="en-AU"/>
        </w:rPr>
      </w:pPr>
      <w:r>
        <w:rPr>
          <w:rStyle w:val="FootnoteReference"/>
        </w:rPr>
        <w:footnoteRef/>
      </w:r>
      <w:r>
        <w:t xml:space="preserve"> </w:t>
      </w:r>
      <w:hyperlink r:id="rId12" w:history="1">
        <w:r w:rsidR="001A69E4" w:rsidRPr="001A69E4">
          <w:rPr>
            <w:rStyle w:val="Hyperlink"/>
            <w:sz w:val="18"/>
            <w:szCs w:val="18"/>
          </w:rPr>
          <w:t>http://foodregulation.gov.au/internet/fr/publishing.nsf/Content/publication-Policy-Guideline-on-the-Addition-of-Substances-other-than-Vitamins-and-Minerals</w:t>
        </w:r>
      </w:hyperlink>
      <w:r w:rsidR="001A69E4" w:rsidRPr="001A69E4">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EF68C" w14:textId="034E5C20" w:rsidR="008D1569" w:rsidRPr="00616017" w:rsidRDefault="008D1569" w:rsidP="00616017">
    <w:pPr>
      <w:pStyle w:val="Header"/>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77777777" w:rsidR="008D1569" w:rsidRDefault="008D156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0"/>
  </w:num>
  <w:num w:numId="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7"/>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1"/>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39"/>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0EB"/>
    <w:rsid w:val="0000247B"/>
    <w:rsid w:val="0000469B"/>
    <w:rsid w:val="00010E79"/>
    <w:rsid w:val="00011187"/>
    <w:rsid w:val="00014E34"/>
    <w:rsid w:val="00015E0F"/>
    <w:rsid w:val="000332AE"/>
    <w:rsid w:val="00034819"/>
    <w:rsid w:val="00035FF3"/>
    <w:rsid w:val="000418F0"/>
    <w:rsid w:val="00041A18"/>
    <w:rsid w:val="00044E1B"/>
    <w:rsid w:val="00050ACC"/>
    <w:rsid w:val="00051021"/>
    <w:rsid w:val="000524F0"/>
    <w:rsid w:val="00052D54"/>
    <w:rsid w:val="000541DB"/>
    <w:rsid w:val="00054666"/>
    <w:rsid w:val="000576EB"/>
    <w:rsid w:val="00064B2D"/>
    <w:rsid w:val="00065F1F"/>
    <w:rsid w:val="00076D33"/>
    <w:rsid w:val="00076D3B"/>
    <w:rsid w:val="00077859"/>
    <w:rsid w:val="00077AEA"/>
    <w:rsid w:val="00081B0A"/>
    <w:rsid w:val="000A0E8D"/>
    <w:rsid w:val="000A3D8B"/>
    <w:rsid w:val="000B427A"/>
    <w:rsid w:val="000B6AF2"/>
    <w:rsid w:val="000C2A7B"/>
    <w:rsid w:val="000D4190"/>
    <w:rsid w:val="000D6FD4"/>
    <w:rsid w:val="000D7B1C"/>
    <w:rsid w:val="000E0AE4"/>
    <w:rsid w:val="000E1EA4"/>
    <w:rsid w:val="000E2706"/>
    <w:rsid w:val="000E3DBC"/>
    <w:rsid w:val="000E662F"/>
    <w:rsid w:val="000F3CFE"/>
    <w:rsid w:val="000F6568"/>
    <w:rsid w:val="000F7760"/>
    <w:rsid w:val="00102819"/>
    <w:rsid w:val="00104544"/>
    <w:rsid w:val="0010778D"/>
    <w:rsid w:val="001122EC"/>
    <w:rsid w:val="0012388D"/>
    <w:rsid w:val="00136B57"/>
    <w:rsid w:val="00150B54"/>
    <w:rsid w:val="0015187A"/>
    <w:rsid w:val="001635CD"/>
    <w:rsid w:val="001814C0"/>
    <w:rsid w:val="00182C4C"/>
    <w:rsid w:val="001878C5"/>
    <w:rsid w:val="0019399D"/>
    <w:rsid w:val="00197D8D"/>
    <w:rsid w:val="001A1A75"/>
    <w:rsid w:val="001A69E4"/>
    <w:rsid w:val="001A7E9A"/>
    <w:rsid w:val="001C27A3"/>
    <w:rsid w:val="001D43F6"/>
    <w:rsid w:val="001E09FA"/>
    <w:rsid w:val="001E1135"/>
    <w:rsid w:val="001F093E"/>
    <w:rsid w:val="001F7F63"/>
    <w:rsid w:val="00202A6F"/>
    <w:rsid w:val="00212633"/>
    <w:rsid w:val="00215C94"/>
    <w:rsid w:val="0022197C"/>
    <w:rsid w:val="00221D07"/>
    <w:rsid w:val="00223E4B"/>
    <w:rsid w:val="00224E3B"/>
    <w:rsid w:val="00227E4A"/>
    <w:rsid w:val="00234B64"/>
    <w:rsid w:val="002421C1"/>
    <w:rsid w:val="00250197"/>
    <w:rsid w:val="0026387E"/>
    <w:rsid w:val="002758A0"/>
    <w:rsid w:val="0029204E"/>
    <w:rsid w:val="00292B9B"/>
    <w:rsid w:val="002A0194"/>
    <w:rsid w:val="002A5F8B"/>
    <w:rsid w:val="002A78CA"/>
    <w:rsid w:val="002A7F6C"/>
    <w:rsid w:val="002B0071"/>
    <w:rsid w:val="002B33FC"/>
    <w:rsid w:val="002B60B9"/>
    <w:rsid w:val="002C1A3B"/>
    <w:rsid w:val="002E16D5"/>
    <w:rsid w:val="002E1820"/>
    <w:rsid w:val="002E684A"/>
    <w:rsid w:val="002F35EA"/>
    <w:rsid w:val="002F6488"/>
    <w:rsid w:val="00303943"/>
    <w:rsid w:val="003050B3"/>
    <w:rsid w:val="00305C54"/>
    <w:rsid w:val="0031016C"/>
    <w:rsid w:val="0031426B"/>
    <w:rsid w:val="003213F9"/>
    <w:rsid w:val="00323AB6"/>
    <w:rsid w:val="00323DBF"/>
    <w:rsid w:val="00327867"/>
    <w:rsid w:val="00332015"/>
    <w:rsid w:val="00332B12"/>
    <w:rsid w:val="00335268"/>
    <w:rsid w:val="00337CBC"/>
    <w:rsid w:val="003428FC"/>
    <w:rsid w:val="00346622"/>
    <w:rsid w:val="003507DB"/>
    <w:rsid w:val="00351B07"/>
    <w:rsid w:val="0036533D"/>
    <w:rsid w:val="00371B29"/>
    <w:rsid w:val="003766F8"/>
    <w:rsid w:val="00380106"/>
    <w:rsid w:val="003814F0"/>
    <w:rsid w:val="00381E07"/>
    <w:rsid w:val="00385788"/>
    <w:rsid w:val="00391769"/>
    <w:rsid w:val="003953E1"/>
    <w:rsid w:val="003956B3"/>
    <w:rsid w:val="003A0A4D"/>
    <w:rsid w:val="003A3D30"/>
    <w:rsid w:val="003A68BE"/>
    <w:rsid w:val="003A7B84"/>
    <w:rsid w:val="003C0C9A"/>
    <w:rsid w:val="003C4969"/>
    <w:rsid w:val="003D2CDC"/>
    <w:rsid w:val="003D4EF6"/>
    <w:rsid w:val="003E0AEF"/>
    <w:rsid w:val="003E41D5"/>
    <w:rsid w:val="003E46BA"/>
    <w:rsid w:val="003F74C1"/>
    <w:rsid w:val="00401ADE"/>
    <w:rsid w:val="00405B1A"/>
    <w:rsid w:val="00410C76"/>
    <w:rsid w:val="00411907"/>
    <w:rsid w:val="00416C34"/>
    <w:rsid w:val="00417EE3"/>
    <w:rsid w:val="004207EB"/>
    <w:rsid w:val="00421730"/>
    <w:rsid w:val="00422EC9"/>
    <w:rsid w:val="00423AC7"/>
    <w:rsid w:val="00430AEC"/>
    <w:rsid w:val="00432A42"/>
    <w:rsid w:val="00437276"/>
    <w:rsid w:val="00442149"/>
    <w:rsid w:val="0044619E"/>
    <w:rsid w:val="00453646"/>
    <w:rsid w:val="00456B54"/>
    <w:rsid w:val="00456BD5"/>
    <w:rsid w:val="00464643"/>
    <w:rsid w:val="00474470"/>
    <w:rsid w:val="00486793"/>
    <w:rsid w:val="00486C66"/>
    <w:rsid w:val="0049082D"/>
    <w:rsid w:val="00494442"/>
    <w:rsid w:val="00494A3F"/>
    <w:rsid w:val="004977DC"/>
    <w:rsid w:val="004A2037"/>
    <w:rsid w:val="004A793C"/>
    <w:rsid w:val="004B047B"/>
    <w:rsid w:val="004B180D"/>
    <w:rsid w:val="004B4CDC"/>
    <w:rsid w:val="004C600F"/>
    <w:rsid w:val="004D121E"/>
    <w:rsid w:val="004D1B1C"/>
    <w:rsid w:val="004D2493"/>
    <w:rsid w:val="004F2111"/>
    <w:rsid w:val="004F3D1A"/>
    <w:rsid w:val="004F4F98"/>
    <w:rsid w:val="004F69F6"/>
    <w:rsid w:val="004F79AC"/>
    <w:rsid w:val="00506E9B"/>
    <w:rsid w:val="0051112E"/>
    <w:rsid w:val="00514429"/>
    <w:rsid w:val="00515911"/>
    <w:rsid w:val="005207D8"/>
    <w:rsid w:val="0052363A"/>
    <w:rsid w:val="00523930"/>
    <w:rsid w:val="005244F1"/>
    <w:rsid w:val="00525DDE"/>
    <w:rsid w:val="00533234"/>
    <w:rsid w:val="00537CDC"/>
    <w:rsid w:val="00560185"/>
    <w:rsid w:val="00562917"/>
    <w:rsid w:val="00571B8C"/>
    <w:rsid w:val="00580DDF"/>
    <w:rsid w:val="005811B7"/>
    <w:rsid w:val="00585C0F"/>
    <w:rsid w:val="00586228"/>
    <w:rsid w:val="005946D3"/>
    <w:rsid w:val="00597631"/>
    <w:rsid w:val="005A1E7D"/>
    <w:rsid w:val="005A572E"/>
    <w:rsid w:val="005B084E"/>
    <w:rsid w:val="005B1769"/>
    <w:rsid w:val="005B6AF4"/>
    <w:rsid w:val="005C04CB"/>
    <w:rsid w:val="005D16AD"/>
    <w:rsid w:val="005D2016"/>
    <w:rsid w:val="005D5FD3"/>
    <w:rsid w:val="005D6EF3"/>
    <w:rsid w:val="005D72E1"/>
    <w:rsid w:val="005E06C0"/>
    <w:rsid w:val="005E58D3"/>
    <w:rsid w:val="005E6E16"/>
    <w:rsid w:val="005F400E"/>
    <w:rsid w:val="005F4D69"/>
    <w:rsid w:val="005F5A47"/>
    <w:rsid w:val="005F63F0"/>
    <w:rsid w:val="005F7342"/>
    <w:rsid w:val="00610A3C"/>
    <w:rsid w:val="006138D7"/>
    <w:rsid w:val="00615E83"/>
    <w:rsid w:val="00616017"/>
    <w:rsid w:val="006178AF"/>
    <w:rsid w:val="00627F48"/>
    <w:rsid w:val="0063455F"/>
    <w:rsid w:val="00635814"/>
    <w:rsid w:val="00656C54"/>
    <w:rsid w:val="00663FCF"/>
    <w:rsid w:val="006652A2"/>
    <w:rsid w:val="006714AF"/>
    <w:rsid w:val="006721C7"/>
    <w:rsid w:val="0067510B"/>
    <w:rsid w:val="00677AC8"/>
    <w:rsid w:val="00683071"/>
    <w:rsid w:val="00692490"/>
    <w:rsid w:val="006969CC"/>
    <w:rsid w:val="00696A15"/>
    <w:rsid w:val="006A48A7"/>
    <w:rsid w:val="006A5D40"/>
    <w:rsid w:val="006C116D"/>
    <w:rsid w:val="006C22A7"/>
    <w:rsid w:val="006C2F41"/>
    <w:rsid w:val="006C5CF5"/>
    <w:rsid w:val="006D33FF"/>
    <w:rsid w:val="006E10A1"/>
    <w:rsid w:val="006E72E3"/>
    <w:rsid w:val="006F4A82"/>
    <w:rsid w:val="00710C37"/>
    <w:rsid w:val="00724FA4"/>
    <w:rsid w:val="00730800"/>
    <w:rsid w:val="00755F02"/>
    <w:rsid w:val="007602AA"/>
    <w:rsid w:val="007652EF"/>
    <w:rsid w:val="00765DE1"/>
    <w:rsid w:val="00772BDC"/>
    <w:rsid w:val="0077402E"/>
    <w:rsid w:val="00777437"/>
    <w:rsid w:val="007776B4"/>
    <w:rsid w:val="00780792"/>
    <w:rsid w:val="00781133"/>
    <w:rsid w:val="0078309E"/>
    <w:rsid w:val="00795D86"/>
    <w:rsid w:val="007A44B4"/>
    <w:rsid w:val="007A53BF"/>
    <w:rsid w:val="007A7D3D"/>
    <w:rsid w:val="007B225D"/>
    <w:rsid w:val="007B37B3"/>
    <w:rsid w:val="007C09EA"/>
    <w:rsid w:val="007C1C64"/>
    <w:rsid w:val="007C22CB"/>
    <w:rsid w:val="007D0189"/>
    <w:rsid w:val="007E48BC"/>
    <w:rsid w:val="007E79F7"/>
    <w:rsid w:val="007F3630"/>
    <w:rsid w:val="007F42AF"/>
    <w:rsid w:val="007F7BF7"/>
    <w:rsid w:val="008000F6"/>
    <w:rsid w:val="00807559"/>
    <w:rsid w:val="00813464"/>
    <w:rsid w:val="00831154"/>
    <w:rsid w:val="008450BC"/>
    <w:rsid w:val="00847066"/>
    <w:rsid w:val="00850B09"/>
    <w:rsid w:val="00852BC2"/>
    <w:rsid w:val="0085334B"/>
    <w:rsid w:val="008537BA"/>
    <w:rsid w:val="00856712"/>
    <w:rsid w:val="00860808"/>
    <w:rsid w:val="00861C13"/>
    <w:rsid w:val="00862349"/>
    <w:rsid w:val="00864965"/>
    <w:rsid w:val="0086571E"/>
    <w:rsid w:val="0086623B"/>
    <w:rsid w:val="00870214"/>
    <w:rsid w:val="00871116"/>
    <w:rsid w:val="00885C51"/>
    <w:rsid w:val="00896B85"/>
    <w:rsid w:val="00897DCA"/>
    <w:rsid w:val="008A243D"/>
    <w:rsid w:val="008C4E76"/>
    <w:rsid w:val="008D06C6"/>
    <w:rsid w:val="008D1569"/>
    <w:rsid w:val="008D3558"/>
    <w:rsid w:val="008D45C7"/>
    <w:rsid w:val="008D5E9D"/>
    <w:rsid w:val="008E6250"/>
    <w:rsid w:val="008E734E"/>
    <w:rsid w:val="008E74D2"/>
    <w:rsid w:val="009144DC"/>
    <w:rsid w:val="00917C6F"/>
    <w:rsid w:val="00920249"/>
    <w:rsid w:val="0093197C"/>
    <w:rsid w:val="00932F14"/>
    <w:rsid w:val="0094247F"/>
    <w:rsid w:val="00942D60"/>
    <w:rsid w:val="0094358A"/>
    <w:rsid w:val="009460FA"/>
    <w:rsid w:val="00947534"/>
    <w:rsid w:val="009478A1"/>
    <w:rsid w:val="0096523B"/>
    <w:rsid w:val="00972D06"/>
    <w:rsid w:val="0099323D"/>
    <w:rsid w:val="0099367F"/>
    <w:rsid w:val="0099623A"/>
    <w:rsid w:val="009A2699"/>
    <w:rsid w:val="009A2DC9"/>
    <w:rsid w:val="009A391C"/>
    <w:rsid w:val="009E0A61"/>
    <w:rsid w:val="009E3010"/>
    <w:rsid w:val="009E46F5"/>
    <w:rsid w:val="009F7065"/>
    <w:rsid w:val="00A2449C"/>
    <w:rsid w:val="00A318EB"/>
    <w:rsid w:val="00A405CD"/>
    <w:rsid w:val="00A41DD5"/>
    <w:rsid w:val="00A551B9"/>
    <w:rsid w:val="00A55B11"/>
    <w:rsid w:val="00A56DC7"/>
    <w:rsid w:val="00A66FDD"/>
    <w:rsid w:val="00A671E6"/>
    <w:rsid w:val="00A709E5"/>
    <w:rsid w:val="00A74FD1"/>
    <w:rsid w:val="00A84A58"/>
    <w:rsid w:val="00A929A9"/>
    <w:rsid w:val="00A96594"/>
    <w:rsid w:val="00AA41BA"/>
    <w:rsid w:val="00AA6D0D"/>
    <w:rsid w:val="00AA6FA3"/>
    <w:rsid w:val="00AC428E"/>
    <w:rsid w:val="00AC6E48"/>
    <w:rsid w:val="00AD344F"/>
    <w:rsid w:val="00AE4FFD"/>
    <w:rsid w:val="00AF24FA"/>
    <w:rsid w:val="00AF26CC"/>
    <w:rsid w:val="00AF387F"/>
    <w:rsid w:val="00AF397D"/>
    <w:rsid w:val="00B009E8"/>
    <w:rsid w:val="00B00E7F"/>
    <w:rsid w:val="00B17112"/>
    <w:rsid w:val="00B21055"/>
    <w:rsid w:val="00B21DCC"/>
    <w:rsid w:val="00B25F37"/>
    <w:rsid w:val="00B37158"/>
    <w:rsid w:val="00B425AA"/>
    <w:rsid w:val="00B44422"/>
    <w:rsid w:val="00B46EA0"/>
    <w:rsid w:val="00B54F18"/>
    <w:rsid w:val="00B55714"/>
    <w:rsid w:val="00B63BBA"/>
    <w:rsid w:val="00B64B9F"/>
    <w:rsid w:val="00B731D3"/>
    <w:rsid w:val="00B75B57"/>
    <w:rsid w:val="00B77576"/>
    <w:rsid w:val="00B77C18"/>
    <w:rsid w:val="00B811B3"/>
    <w:rsid w:val="00B839A3"/>
    <w:rsid w:val="00B902BD"/>
    <w:rsid w:val="00B92501"/>
    <w:rsid w:val="00BA1009"/>
    <w:rsid w:val="00BA31F2"/>
    <w:rsid w:val="00BB0EC9"/>
    <w:rsid w:val="00BB2918"/>
    <w:rsid w:val="00BC1F12"/>
    <w:rsid w:val="00BD2A39"/>
    <w:rsid w:val="00BD2E80"/>
    <w:rsid w:val="00BD49FF"/>
    <w:rsid w:val="00BD4B64"/>
    <w:rsid w:val="00BD77E1"/>
    <w:rsid w:val="00BE11B8"/>
    <w:rsid w:val="00BE6307"/>
    <w:rsid w:val="00BF3AE6"/>
    <w:rsid w:val="00BF45A3"/>
    <w:rsid w:val="00BF7FF0"/>
    <w:rsid w:val="00C11AEA"/>
    <w:rsid w:val="00C12502"/>
    <w:rsid w:val="00C2311D"/>
    <w:rsid w:val="00C26B3B"/>
    <w:rsid w:val="00C35D2F"/>
    <w:rsid w:val="00C40AA5"/>
    <w:rsid w:val="00C4691D"/>
    <w:rsid w:val="00C46F70"/>
    <w:rsid w:val="00C476D0"/>
    <w:rsid w:val="00C52FB1"/>
    <w:rsid w:val="00C6434A"/>
    <w:rsid w:val="00C64555"/>
    <w:rsid w:val="00C74398"/>
    <w:rsid w:val="00C813C6"/>
    <w:rsid w:val="00C830B9"/>
    <w:rsid w:val="00C836E3"/>
    <w:rsid w:val="00C836FF"/>
    <w:rsid w:val="00C854DC"/>
    <w:rsid w:val="00C86577"/>
    <w:rsid w:val="00C91C02"/>
    <w:rsid w:val="00C92E07"/>
    <w:rsid w:val="00C96868"/>
    <w:rsid w:val="00CA0416"/>
    <w:rsid w:val="00CA5734"/>
    <w:rsid w:val="00CA5F92"/>
    <w:rsid w:val="00CB115C"/>
    <w:rsid w:val="00CC3764"/>
    <w:rsid w:val="00CC3A35"/>
    <w:rsid w:val="00CC5468"/>
    <w:rsid w:val="00CC560B"/>
    <w:rsid w:val="00CC75E2"/>
    <w:rsid w:val="00CD46EB"/>
    <w:rsid w:val="00CD7EBF"/>
    <w:rsid w:val="00CE59AA"/>
    <w:rsid w:val="00CF0E86"/>
    <w:rsid w:val="00D00DFA"/>
    <w:rsid w:val="00D0341B"/>
    <w:rsid w:val="00D056F1"/>
    <w:rsid w:val="00D06616"/>
    <w:rsid w:val="00D144D7"/>
    <w:rsid w:val="00D15A08"/>
    <w:rsid w:val="00D23DB6"/>
    <w:rsid w:val="00D41237"/>
    <w:rsid w:val="00D51A95"/>
    <w:rsid w:val="00D555E7"/>
    <w:rsid w:val="00D60568"/>
    <w:rsid w:val="00D6282E"/>
    <w:rsid w:val="00D70C7A"/>
    <w:rsid w:val="00D72A29"/>
    <w:rsid w:val="00D834E5"/>
    <w:rsid w:val="00D96C9C"/>
    <w:rsid w:val="00DA10A8"/>
    <w:rsid w:val="00DB123A"/>
    <w:rsid w:val="00DB1E08"/>
    <w:rsid w:val="00DB2973"/>
    <w:rsid w:val="00DC0FBA"/>
    <w:rsid w:val="00DC1B56"/>
    <w:rsid w:val="00DC20CC"/>
    <w:rsid w:val="00DC2129"/>
    <w:rsid w:val="00DC2C68"/>
    <w:rsid w:val="00DC6570"/>
    <w:rsid w:val="00DD265C"/>
    <w:rsid w:val="00DD3703"/>
    <w:rsid w:val="00DD37A6"/>
    <w:rsid w:val="00DE5528"/>
    <w:rsid w:val="00DF25C3"/>
    <w:rsid w:val="00DF5004"/>
    <w:rsid w:val="00DF5CFF"/>
    <w:rsid w:val="00DF72BB"/>
    <w:rsid w:val="00E04062"/>
    <w:rsid w:val="00E063C6"/>
    <w:rsid w:val="00E2003B"/>
    <w:rsid w:val="00E26887"/>
    <w:rsid w:val="00E279D8"/>
    <w:rsid w:val="00E30092"/>
    <w:rsid w:val="00E319B1"/>
    <w:rsid w:val="00E327A6"/>
    <w:rsid w:val="00E3684F"/>
    <w:rsid w:val="00E446F0"/>
    <w:rsid w:val="00E45239"/>
    <w:rsid w:val="00E47D3B"/>
    <w:rsid w:val="00E5492F"/>
    <w:rsid w:val="00E572B1"/>
    <w:rsid w:val="00E6369A"/>
    <w:rsid w:val="00E70A86"/>
    <w:rsid w:val="00E73E50"/>
    <w:rsid w:val="00E74B4D"/>
    <w:rsid w:val="00E74FDA"/>
    <w:rsid w:val="00E777EC"/>
    <w:rsid w:val="00E80FCD"/>
    <w:rsid w:val="00E81E04"/>
    <w:rsid w:val="00E92E6F"/>
    <w:rsid w:val="00EA2226"/>
    <w:rsid w:val="00EA48C5"/>
    <w:rsid w:val="00EA4C5A"/>
    <w:rsid w:val="00EA7DB0"/>
    <w:rsid w:val="00EA7F2F"/>
    <w:rsid w:val="00EB1F85"/>
    <w:rsid w:val="00EB576F"/>
    <w:rsid w:val="00EB6590"/>
    <w:rsid w:val="00EC00DE"/>
    <w:rsid w:val="00EC21DF"/>
    <w:rsid w:val="00EC30E1"/>
    <w:rsid w:val="00EC3436"/>
    <w:rsid w:val="00EC3B70"/>
    <w:rsid w:val="00EC66BB"/>
    <w:rsid w:val="00ED172A"/>
    <w:rsid w:val="00EE01DC"/>
    <w:rsid w:val="00EF0D7C"/>
    <w:rsid w:val="00F004B5"/>
    <w:rsid w:val="00F13334"/>
    <w:rsid w:val="00F14AB3"/>
    <w:rsid w:val="00F14BEC"/>
    <w:rsid w:val="00F1562B"/>
    <w:rsid w:val="00F224B7"/>
    <w:rsid w:val="00F225C5"/>
    <w:rsid w:val="00F2587A"/>
    <w:rsid w:val="00F33470"/>
    <w:rsid w:val="00F34E02"/>
    <w:rsid w:val="00F3715D"/>
    <w:rsid w:val="00F37A10"/>
    <w:rsid w:val="00F4121B"/>
    <w:rsid w:val="00F41AE1"/>
    <w:rsid w:val="00F420C8"/>
    <w:rsid w:val="00F42A4C"/>
    <w:rsid w:val="00F45A6E"/>
    <w:rsid w:val="00F4707A"/>
    <w:rsid w:val="00F526BD"/>
    <w:rsid w:val="00F634A1"/>
    <w:rsid w:val="00F66E06"/>
    <w:rsid w:val="00F762CC"/>
    <w:rsid w:val="00FB7512"/>
    <w:rsid w:val="00FD7547"/>
    <w:rsid w:val="00FE287B"/>
    <w:rsid w:val="00FE6B50"/>
    <w:rsid w:val="00FF1B03"/>
    <w:rsid w:val="00FF3725"/>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DCF0E"/>
  <w15:docId w15:val="{39988E55-2175-47EE-89FE-752C9B7E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8E74D2"/>
    <w:pPr>
      <w:ind w:left="720"/>
      <w:contextualSpacing/>
    </w:pPr>
  </w:style>
  <w:style w:type="table" w:styleId="ListTable4">
    <w:name w:val="List Table 4"/>
    <w:basedOn w:val="TableNormal"/>
    <w:uiPriority w:val="49"/>
    <w:rsid w:val="002B33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8D3558"/>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D3558"/>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D3558"/>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3558"/>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admin-www.foodstandards.gov.au/code/applications/Pages/A1137.aspx" TargetMode="Externa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accessdata.fda.gov/scripts/cdrh/cfdocs/cfcfr/CFRSearch.cfm" TargetMode="External"/><Relationship Id="rId3" Type="http://schemas.openxmlformats.org/officeDocument/2006/relationships/hyperlink" Target="http://www.fao.org/gsfaonline/additives/search.html?lang=en" TargetMode="External"/><Relationship Id="rId7" Type="http://schemas.openxmlformats.org/officeDocument/2006/relationships/hyperlink" Target="https://www.ecfr.gov/cgi-bin/text-idx?SID=ac79097fe6735334b83e5ce9757c5094&amp;mc=true&amp;node=pt21.3.178&amp;rgn=div5" TargetMode="External"/><Relationship Id="rId12" Type="http://schemas.openxmlformats.org/officeDocument/2006/relationships/hyperlink" Target="http://foodregulation.gov.au/internet/fr/publishing.nsf/Content/publication-Policy-Guideline-on-the-Addition-of-Substances-other-than-Vitamins-and-Minerals" TargetMode="External"/><Relationship Id="rId2" Type="http://schemas.openxmlformats.org/officeDocument/2006/relationships/hyperlink" Target="http://www.fao.org/gsfaonline/docs/CXS_192e.pdf" TargetMode="External"/><Relationship Id="rId1" Type="http://schemas.openxmlformats.org/officeDocument/2006/relationships/hyperlink" Target="https://admin-www.foodstandards.gov.au/code/applications/Pages/A1137.aspx" TargetMode="External"/><Relationship Id="rId6" Type="http://schemas.openxmlformats.org/officeDocument/2006/relationships/hyperlink" Target="https://www.accessdata.fda.gov/scripts/cdrh/cfdocs/cfcfr/cfrsearch.cfm" TargetMode="External"/><Relationship Id="rId11" Type="http://schemas.openxmlformats.org/officeDocument/2006/relationships/hyperlink" Target="https://www.ava.gov.sg/docs/default-source/legislation/sale-of-food-act/food-regulations38a28b1875296bf09fdaff00009b1e7c.pdf" TargetMode="External"/><Relationship Id="rId5" Type="http://schemas.openxmlformats.org/officeDocument/2006/relationships/hyperlink" Target="https://webgate.ec.europa.eu/foods_system/main/?event=substances.search&amp;substances.pagination=1" TargetMode="External"/><Relationship Id="rId10" Type="http://schemas.openxmlformats.org/officeDocument/2006/relationships/hyperlink" Target="http://statutes.agc.gov.sg/aol/search/display/view.w3p;ident=495360a0-a0f3-4f7c-9c30-213ee8a813b7;page=0;query=CompId%3Aa1fd9f9e-34e0-4b01-bfc5-c2aa293432f0%20ValidTime%3A20160520000000%20TransactionTime%3A20160520000000;rec=0;resUrl=http%3A%2F%2Fstatutes.agc.gov.sg%2Faol%2Fbrowse%2FtitleResults.w3p%3Bletter%3DF%3Btype%3DslCur" TargetMode="External"/><Relationship Id="rId4" Type="http://schemas.openxmlformats.org/officeDocument/2006/relationships/hyperlink" Target="http://eur-lex.europa.eu/legal-content/EN/TXT/PDF/?uri=OJ:L:2011:295:FULL&amp;from=EN" TargetMode="External"/><Relationship Id="rId9" Type="http://schemas.openxmlformats.org/officeDocument/2006/relationships/hyperlink" Target="http://www.ffcr.or.jp/zaidan/FFCRHOME.nsf/pages/stanrd.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8362EF8DB5C1E242B161296DE6B84588" ma:contentTypeVersion="34" ma:contentTypeDescription="Other Document." ma:contentTypeScope="" ma:versionID="d90164e0842fda047d2cdb2854667c13">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c98198b4bb04cc2a7e03db3f60370949"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3D9A-436F-4034-B287-C184A1378E39}"/>
</file>

<file path=customXml/itemProps2.xml><?xml version="1.0" encoding="utf-8"?>
<ds:datastoreItem xmlns:ds="http://schemas.openxmlformats.org/officeDocument/2006/customXml" ds:itemID="{0D8ED0B9-6DB0-4571-ABBC-6938FE088980}"/>
</file>

<file path=customXml/itemProps3.xml><?xml version="1.0" encoding="utf-8"?>
<ds:datastoreItem xmlns:ds="http://schemas.openxmlformats.org/officeDocument/2006/customXml" ds:itemID="{E89D5B36-7714-45B4-B304-B1954F08E1A4}"/>
</file>

<file path=customXml/itemProps4.xml><?xml version="1.0" encoding="utf-8"?>
<ds:datastoreItem xmlns:ds="http://schemas.openxmlformats.org/officeDocument/2006/customXml" ds:itemID="{5A0FC07B-4BFC-4748-B228-2FC55CBD2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8B0519-16AA-4858-B4F3-3A02DA18DAA1}">
  <ds:schemaRefs>
    <ds:schemaRef ds:uri="Microsoft.SharePoint.Taxonomy.ContentTypeSync"/>
  </ds:schemaRefs>
</ds:datastoreItem>
</file>

<file path=customXml/itemProps6.xml><?xml version="1.0" encoding="utf-8"?>
<ds:datastoreItem xmlns:ds="http://schemas.openxmlformats.org/officeDocument/2006/customXml" ds:itemID="{856C068E-CC6A-4706-A9AF-2FBEBA3E7B43}"/>
</file>

<file path=customXml/itemProps7.xml><?xml version="1.0" encoding="utf-8"?>
<ds:datastoreItem xmlns:ds="http://schemas.openxmlformats.org/officeDocument/2006/customXml" ds:itemID="{9184327C-3E3A-49D9-BA2E-77FA9869482F}"/>
</file>

<file path=docProps/app.xml><?xml version="1.0" encoding="utf-8"?>
<Properties xmlns="http://schemas.openxmlformats.org/officeDocument/2006/extended-properties" xmlns:vt="http://schemas.openxmlformats.org/officeDocument/2006/docPropsVTypes">
  <Template>Normal</Template>
  <TotalTime>1140</TotalTime>
  <Pages>21</Pages>
  <Words>6773</Words>
  <Characters>38608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45291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Cathie</dc:creator>
  <cp:keywords/>
  <cp:lastModifiedBy>Christine Coughlan</cp:lastModifiedBy>
  <cp:revision>86</cp:revision>
  <cp:lastPrinted>2011-11-14T22:43:00Z</cp:lastPrinted>
  <dcterms:created xsi:type="dcterms:W3CDTF">2018-06-15T06:27:00Z</dcterms:created>
  <dcterms:modified xsi:type="dcterms:W3CDTF">2018-09-16T22:32:00Z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5059394f-377a-41fe-82cd-b53d2f96a363</vt:lpwstr>
  </property>
  <property fmtid="{D5CDD505-2E9C-101B-9397-08002B2CF9AE}" pid="4" name="bjSaver">
    <vt:lpwstr>MGDMrtrA0aC/7nR6i/ZsBNDxscKyeXA3</vt:lpwstr>
  </property>
  <property fmtid="{D5CDD505-2E9C-101B-9397-08002B2CF9AE}" pid="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6" name="bjDocumentLabelXML-0">
    <vt:lpwstr>ames.com/2008/01/sie/internal/label"&gt;&lt;element uid="a68a5297-83bb-4ba8-a7cd-4b62d6981a77" value="" /&gt;&lt;/sisl&gt;</vt:lpwstr>
  </property>
  <property fmtid="{D5CDD505-2E9C-101B-9397-08002B2CF9AE}" pid="7" name="bjDocumentSecurityLabel">
    <vt:lpwstr>NO SECURITY CLASSIFICATION REQUIRED</vt:lpwstr>
  </property>
  <property fmtid="{D5CDD505-2E9C-101B-9397-08002B2CF9AE}" pid="8" name="ContentTypeId">
    <vt:lpwstr>0x010100CB2FFA9FD6109347A9495CD5860AFAE6</vt:lpwstr>
  </property>
  <property fmtid="{D5CDD505-2E9C-101B-9397-08002B2CF9AE}" pid="9" name="DisposalClass">
    <vt:lpwstr/>
  </property>
  <property fmtid="{D5CDD505-2E9C-101B-9397-08002B2CF9AE}" pid="10" name="BCS_">
    <vt:lpwstr>102;#Agenda papers|6e530783-c5c6-4772-93f9-dbabdcf97c03</vt:lpwstr>
  </property>
  <property fmtid="{D5CDD505-2E9C-101B-9397-08002B2CF9AE}" pid="11" name="_dlc_DocIdItemGuid">
    <vt:lpwstr>86bd6acf-ee05-42d8-8aab-86765e381e5f</vt:lpwstr>
  </property>
  <property fmtid="{D5CDD505-2E9C-101B-9397-08002B2CF9AE}" pid="12" name="RecordPoint_WorkflowType">
    <vt:lpwstr>ActiveSubmitStub</vt:lpwstr>
  </property>
  <property fmtid="{D5CDD505-2E9C-101B-9397-08002B2CF9AE}" pid="13" name="RecordPoint_ActiveItemUniqueId">
    <vt:lpwstr>{d25d123c-cc5c-4108-a14e-3560fa439fd5}</vt:lpwstr>
  </property>
  <property fmtid="{D5CDD505-2E9C-101B-9397-08002B2CF9AE}" pid="14" name="RecordPoint_ActiveItemWebId">
    <vt:lpwstr>{0a24ff59-26de-499e-af6c-870128dbbd86}</vt:lpwstr>
  </property>
  <property fmtid="{D5CDD505-2E9C-101B-9397-08002B2CF9AE}" pid="15" name="RecordPoint_ActiveItemSiteId">
    <vt:lpwstr>{cec154f9-42c6-4481-9906-45443d426660}</vt:lpwstr>
  </property>
  <property fmtid="{D5CDD505-2E9C-101B-9397-08002B2CF9AE}" pid="16" name="RecordPoint_ActiveItemListId">
    <vt:lpwstr>{3a9826a6-ef3d-4704-849b-07726235ecc0}</vt:lpwstr>
  </property>
  <property fmtid="{D5CDD505-2E9C-101B-9397-08002B2CF9AE}" pid="17" name="RecordPoint_RecordNumberSubmitted">
    <vt:lpwstr>R0000064106</vt:lpwstr>
  </property>
  <property fmtid="{D5CDD505-2E9C-101B-9397-08002B2CF9AE}" pid="18" name="RecordPoint_SubmissionCompleted">
    <vt:lpwstr>2018-08-15T11:16:33.1077822+10:00</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y fmtid="{D5CDD505-2E9C-101B-9397-08002B2CF9AE}" pid="22" name="a41428b017d04df981d58ffdf035d7b8">
    <vt:lpwstr/>
  </property>
</Properties>
</file>